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8F4A3" w14:textId="77777777" w:rsidR="001C1756" w:rsidRDefault="001C1756" w:rsidP="001C1756">
      <w:pPr>
        <w:spacing w:line="480" w:lineRule="auto"/>
        <w:ind w:left="1080" w:hanging="720"/>
      </w:pPr>
    </w:p>
    <w:p w14:paraId="352E9898" w14:textId="77777777" w:rsidR="001C1756" w:rsidRDefault="001C1756" w:rsidP="001C1756">
      <w:pPr>
        <w:spacing w:line="480" w:lineRule="auto"/>
        <w:ind w:left="1080" w:hanging="720"/>
      </w:pPr>
    </w:p>
    <w:p w14:paraId="279B8C3A" w14:textId="77777777" w:rsidR="001C1756" w:rsidRDefault="001C1756" w:rsidP="008B53D9">
      <w:pPr>
        <w:spacing w:line="480" w:lineRule="auto"/>
      </w:pPr>
    </w:p>
    <w:p w14:paraId="03897D89" w14:textId="77777777" w:rsidR="001C1756" w:rsidRDefault="001C1756" w:rsidP="001C1756">
      <w:pPr>
        <w:spacing w:line="480" w:lineRule="auto"/>
        <w:ind w:left="1080" w:hanging="720"/>
      </w:pPr>
    </w:p>
    <w:p w14:paraId="3C9D184B" w14:textId="60E703DC" w:rsidR="001C1756" w:rsidRDefault="001C1756" w:rsidP="001C1756">
      <w:pPr>
        <w:spacing w:line="480" w:lineRule="auto"/>
        <w:ind w:left="1080" w:hanging="720"/>
        <w:jc w:val="center"/>
        <w:rPr>
          <w:rFonts w:ascii="Times New Roman" w:hAnsi="Times New Roman" w:cs="Times New Roman"/>
          <w:b/>
          <w:bCs/>
          <w:sz w:val="32"/>
          <w:szCs w:val="32"/>
        </w:rPr>
      </w:pPr>
      <w:r>
        <w:rPr>
          <w:rFonts w:ascii="Times New Roman" w:hAnsi="Times New Roman" w:cs="Times New Roman"/>
          <w:b/>
          <w:bCs/>
          <w:sz w:val="32"/>
          <w:szCs w:val="32"/>
        </w:rPr>
        <w:t>Stock Analysis and Forecast of Delta Airlines (NYSE: DAL)</w:t>
      </w:r>
    </w:p>
    <w:p w14:paraId="1304719E" w14:textId="3A7FF08B" w:rsidR="001C1756" w:rsidRDefault="001C1756" w:rsidP="001C1756">
      <w:pPr>
        <w:spacing w:line="480" w:lineRule="auto"/>
        <w:ind w:left="1080" w:hanging="720"/>
        <w:jc w:val="center"/>
        <w:rPr>
          <w:rFonts w:ascii="Times New Roman" w:hAnsi="Times New Roman" w:cs="Times New Roman"/>
          <w:sz w:val="32"/>
          <w:szCs w:val="32"/>
        </w:rPr>
      </w:pPr>
      <w:r>
        <w:rPr>
          <w:rFonts w:ascii="Times New Roman" w:hAnsi="Times New Roman" w:cs="Times New Roman"/>
          <w:sz w:val="32"/>
          <w:szCs w:val="32"/>
        </w:rPr>
        <w:t>Based on a period from September 19, 2022, to September 18, 2023</w:t>
      </w:r>
    </w:p>
    <w:p w14:paraId="67F004DF" w14:textId="77777777" w:rsidR="001C1756" w:rsidRDefault="001C1756" w:rsidP="001C1756">
      <w:pPr>
        <w:spacing w:line="480" w:lineRule="auto"/>
        <w:ind w:left="1080" w:hanging="720"/>
        <w:jc w:val="center"/>
        <w:rPr>
          <w:rFonts w:ascii="Times New Roman" w:hAnsi="Times New Roman" w:cs="Times New Roman"/>
          <w:b/>
          <w:bCs/>
          <w:sz w:val="28"/>
          <w:szCs w:val="28"/>
        </w:rPr>
      </w:pPr>
    </w:p>
    <w:p w14:paraId="08402721" w14:textId="77777777" w:rsidR="008B53D9" w:rsidRDefault="001C1756" w:rsidP="001C1756">
      <w:pPr>
        <w:spacing w:line="480" w:lineRule="auto"/>
        <w:ind w:left="1080" w:hanging="720"/>
        <w:jc w:val="center"/>
        <w:rPr>
          <w:rFonts w:ascii="Times New Roman" w:hAnsi="Times New Roman" w:cs="Times New Roman"/>
          <w:sz w:val="28"/>
          <w:szCs w:val="28"/>
        </w:rPr>
      </w:pPr>
      <w:r>
        <w:rPr>
          <w:rFonts w:ascii="Times New Roman" w:hAnsi="Times New Roman" w:cs="Times New Roman"/>
          <w:sz w:val="28"/>
          <w:szCs w:val="28"/>
        </w:rPr>
        <w:t>Report compiled by:</w:t>
      </w:r>
    </w:p>
    <w:p w14:paraId="67A32D1C" w14:textId="7A066FB9" w:rsidR="008B53D9" w:rsidRDefault="001C1756" w:rsidP="001C1756">
      <w:pPr>
        <w:spacing w:line="480" w:lineRule="auto"/>
        <w:ind w:left="1080" w:hanging="720"/>
        <w:jc w:val="center"/>
        <w:rPr>
          <w:rFonts w:ascii="Times New Roman" w:hAnsi="Times New Roman" w:cs="Times New Roman"/>
          <w:b/>
          <w:bCs/>
          <w:sz w:val="28"/>
          <w:szCs w:val="28"/>
        </w:rPr>
      </w:pPr>
      <w:r>
        <w:rPr>
          <w:rFonts w:ascii="Times New Roman" w:hAnsi="Times New Roman" w:cs="Times New Roman"/>
          <w:b/>
          <w:bCs/>
          <w:sz w:val="28"/>
          <w:szCs w:val="28"/>
        </w:rPr>
        <w:t>Owen Sullivan</w:t>
      </w:r>
    </w:p>
    <w:p w14:paraId="68216D0B" w14:textId="788EEB4B" w:rsidR="00C70255" w:rsidRDefault="00C70255" w:rsidP="001C1756">
      <w:pPr>
        <w:spacing w:line="480" w:lineRule="auto"/>
        <w:ind w:left="1080" w:hanging="720"/>
        <w:jc w:val="center"/>
        <w:rPr>
          <w:rFonts w:ascii="Times New Roman" w:hAnsi="Times New Roman" w:cs="Times New Roman"/>
          <w:sz w:val="28"/>
          <w:szCs w:val="28"/>
        </w:rPr>
      </w:pPr>
      <w:r>
        <w:rPr>
          <w:rFonts w:ascii="Times New Roman" w:hAnsi="Times New Roman" w:cs="Times New Roman"/>
          <w:b/>
          <w:bCs/>
          <w:sz w:val="28"/>
          <w:szCs w:val="28"/>
        </w:rPr>
        <w:t>HomeWorks Financial Services, LLC</w:t>
      </w:r>
    </w:p>
    <w:p w14:paraId="62FF39AB" w14:textId="510C915E" w:rsidR="008B53D9" w:rsidRDefault="00C70255" w:rsidP="001C1756">
      <w:pPr>
        <w:spacing w:line="480" w:lineRule="auto"/>
        <w:ind w:left="1080" w:hanging="720"/>
        <w:jc w:val="center"/>
        <w:rPr>
          <w:rFonts w:ascii="Times New Roman" w:hAnsi="Times New Roman" w:cs="Times New Roman"/>
          <w:b/>
          <w:bCs/>
          <w:sz w:val="28"/>
          <w:szCs w:val="28"/>
        </w:rPr>
      </w:pPr>
      <w:r>
        <w:rPr>
          <w:rFonts w:ascii="Times New Roman" w:hAnsi="Times New Roman" w:cs="Times New Roman"/>
          <w:b/>
          <w:bCs/>
          <w:sz w:val="28"/>
          <w:szCs w:val="28"/>
        </w:rPr>
        <w:t>123 Main St, Seneca, SC 29678</w:t>
      </w:r>
    </w:p>
    <w:p w14:paraId="6E49A008" w14:textId="67FCC748" w:rsidR="008B53D9" w:rsidRPr="008B53D9" w:rsidRDefault="008B53D9" w:rsidP="001C1756">
      <w:pPr>
        <w:spacing w:line="480" w:lineRule="auto"/>
        <w:ind w:left="1080" w:hanging="720"/>
        <w:jc w:val="center"/>
        <w:rPr>
          <w:rFonts w:ascii="Times New Roman" w:hAnsi="Times New Roman" w:cs="Times New Roman"/>
          <w:b/>
          <w:bCs/>
          <w:sz w:val="28"/>
          <w:szCs w:val="28"/>
        </w:rPr>
      </w:pPr>
      <w:r>
        <w:rPr>
          <w:rFonts w:ascii="Times New Roman" w:hAnsi="Times New Roman" w:cs="Times New Roman"/>
          <w:b/>
          <w:bCs/>
          <w:sz w:val="28"/>
          <w:szCs w:val="28"/>
        </w:rPr>
        <w:t xml:space="preserve">Tel: +1 (843) </w:t>
      </w:r>
      <w:r w:rsidR="00C70255">
        <w:rPr>
          <w:rFonts w:ascii="Times New Roman" w:hAnsi="Times New Roman" w:cs="Times New Roman"/>
          <w:b/>
          <w:bCs/>
          <w:sz w:val="28"/>
          <w:szCs w:val="28"/>
        </w:rPr>
        <w:t>555</w:t>
      </w:r>
      <w:r>
        <w:rPr>
          <w:rFonts w:ascii="Times New Roman" w:hAnsi="Times New Roman" w:cs="Times New Roman"/>
          <w:b/>
          <w:bCs/>
          <w:sz w:val="28"/>
          <w:szCs w:val="28"/>
        </w:rPr>
        <w:t>-</w:t>
      </w:r>
      <w:r w:rsidR="00C70255">
        <w:rPr>
          <w:rFonts w:ascii="Times New Roman" w:hAnsi="Times New Roman" w:cs="Times New Roman"/>
          <w:b/>
          <w:bCs/>
          <w:sz w:val="28"/>
          <w:szCs w:val="28"/>
        </w:rPr>
        <w:t>1234</w:t>
      </w:r>
      <w:r>
        <w:rPr>
          <w:rFonts w:ascii="Times New Roman" w:hAnsi="Times New Roman" w:cs="Times New Roman"/>
          <w:b/>
          <w:bCs/>
          <w:sz w:val="28"/>
          <w:szCs w:val="28"/>
        </w:rPr>
        <w:t xml:space="preserve"> | Email: opsulli@clemson.edu</w:t>
      </w:r>
    </w:p>
    <w:p w14:paraId="6377AAC7" w14:textId="3DAE6D48" w:rsidR="008B53D9" w:rsidRDefault="001C1756" w:rsidP="001C1756">
      <w:pPr>
        <w:spacing w:line="480" w:lineRule="auto"/>
        <w:ind w:left="1080" w:hanging="720"/>
        <w:jc w:val="center"/>
        <w:rPr>
          <w:rFonts w:ascii="Times New Roman" w:hAnsi="Times New Roman" w:cs="Times New Roman"/>
          <w:sz w:val="28"/>
          <w:szCs w:val="28"/>
        </w:rPr>
      </w:pPr>
      <w:r>
        <w:rPr>
          <w:rFonts w:ascii="Times New Roman" w:hAnsi="Times New Roman" w:cs="Times New Roman"/>
          <w:sz w:val="28"/>
          <w:szCs w:val="28"/>
        </w:rPr>
        <w:t>for:</w:t>
      </w:r>
    </w:p>
    <w:p w14:paraId="5180AD93" w14:textId="22EC6F54" w:rsidR="001C1756" w:rsidRDefault="001C1756" w:rsidP="001C1756">
      <w:pPr>
        <w:spacing w:line="480" w:lineRule="auto"/>
        <w:ind w:left="1080" w:hanging="720"/>
        <w:jc w:val="center"/>
        <w:rPr>
          <w:rFonts w:ascii="Times New Roman" w:hAnsi="Times New Roman" w:cs="Times New Roman"/>
          <w:b/>
          <w:bCs/>
          <w:sz w:val="28"/>
          <w:szCs w:val="28"/>
        </w:rPr>
      </w:pPr>
      <w:r>
        <w:rPr>
          <w:rFonts w:ascii="Times New Roman" w:hAnsi="Times New Roman" w:cs="Times New Roman"/>
          <w:b/>
          <w:bCs/>
          <w:sz w:val="28"/>
          <w:szCs w:val="28"/>
        </w:rPr>
        <w:t>Delta Airlines</w:t>
      </w:r>
    </w:p>
    <w:p w14:paraId="17C47230" w14:textId="4857EFF7" w:rsidR="008B53D9" w:rsidRDefault="008B53D9" w:rsidP="001C1756">
      <w:pPr>
        <w:spacing w:line="480" w:lineRule="auto"/>
        <w:ind w:left="1080" w:hanging="720"/>
        <w:jc w:val="center"/>
        <w:rPr>
          <w:rFonts w:ascii="Times New Roman" w:hAnsi="Times New Roman" w:cs="Times New Roman"/>
          <w:b/>
          <w:bCs/>
          <w:sz w:val="28"/>
          <w:szCs w:val="28"/>
        </w:rPr>
      </w:pPr>
      <w:r>
        <w:rPr>
          <w:rFonts w:ascii="Times New Roman" w:hAnsi="Times New Roman" w:cs="Times New Roman"/>
          <w:b/>
          <w:bCs/>
          <w:sz w:val="28"/>
          <w:szCs w:val="28"/>
        </w:rPr>
        <w:t>1030 Delta Blvd, Atlanta, GA 30354</w:t>
      </w:r>
    </w:p>
    <w:p w14:paraId="6BFEC90C" w14:textId="6C46BE1D" w:rsidR="008B53D9" w:rsidRPr="001C1756" w:rsidRDefault="008B53D9" w:rsidP="001C1756">
      <w:pPr>
        <w:spacing w:line="480" w:lineRule="auto"/>
        <w:ind w:left="1080" w:hanging="720"/>
        <w:jc w:val="center"/>
        <w:rPr>
          <w:rFonts w:ascii="Times New Roman" w:hAnsi="Times New Roman" w:cs="Times New Roman"/>
          <w:b/>
          <w:bCs/>
          <w:sz w:val="28"/>
          <w:szCs w:val="28"/>
        </w:rPr>
      </w:pPr>
      <w:r>
        <w:rPr>
          <w:rFonts w:ascii="Times New Roman" w:hAnsi="Times New Roman" w:cs="Times New Roman"/>
          <w:b/>
          <w:bCs/>
          <w:sz w:val="28"/>
          <w:szCs w:val="28"/>
        </w:rPr>
        <w:t xml:space="preserve">Tel: +1 (404) 715-2600 </w:t>
      </w:r>
    </w:p>
    <w:p w14:paraId="4D31778D" w14:textId="77777777" w:rsidR="001C1756" w:rsidRDefault="001C1756" w:rsidP="001C1756">
      <w:pPr>
        <w:spacing w:line="480" w:lineRule="auto"/>
        <w:ind w:left="1080" w:hanging="720"/>
      </w:pPr>
    </w:p>
    <w:p w14:paraId="6CD3648A" w14:textId="77777777" w:rsidR="001C1756" w:rsidRDefault="001C1756" w:rsidP="001C1756">
      <w:pPr>
        <w:spacing w:line="480" w:lineRule="auto"/>
        <w:ind w:left="1080" w:hanging="720"/>
      </w:pPr>
    </w:p>
    <w:p w14:paraId="147EB46C" w14:textId="77777777" w:rsidR="001C1756" w:rsidRDefault="001C1756" w:rsidP="001C1756">
      <w:pPr>
        <w:spacing w:line="480" w:lineRule="auto"/>
        <w:ind w:left="1080" w:hanging="720"/>
      </w:pPr>
    </w:p>
    <w:p w14:paraId="307CB8A8" w14:textId="77777777" w:rsidR="001C1756" w:rsidRDefault="001C1756" w:rsidP="001C1756">
      <w:pPr>
        <w:spacing w:line="480" w:lineRule="auto"/>
        <w:ind w:left="1080" w:hanging="720"/>
      </w:pPr>
    </w:p>
    <w:p w14:paraId="4F8C4420" w14:textId="77777777" w:rsidR="001C1756" w:rsidRDefault="001C1756" w:rsidP="008B53D9">
      <w:pPr>
        <w:spacing w:line="480" w:lineRule="auto"/>
      </w:pPr>
    </w:p>
    <w:p w14:paraId="62CA20BF" w14:textId="71BB9623"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lastRenderedPageBreak/>
        <w:t>Abstract</w:t>
      </w:r>
    </w:p>
    <w:p w14:paraId="54D4BCDC" w14:textId="77777777" w:rsidR="00C70255" w:rsidRDefault="00527741" w:rsidP="00527741">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To provide complete financial performance data for shareholders, Delta Airlines needed to understand how their stock performed and </w:t>
      </w:r>
      <w:r w:rsidR="00C70255">
        <w:rPr>
          <w:rFonts w:ascii="Times New Roman" w:hAnsi="Times New Roman" w:cs="Times New Roman"/>
          <w:sz w:val="22"/>
          <w:szCs w:val="22"/>
        </w:rPr>
        <w:t>what predictions about the stock’s future price could be made. This report describes how two forecasting models (simple Moving Average and Exponential Smoothing) were used to make inferences about the stock’s performance over a one-year reporting period, as well as how the Exponential Smoothing model was used to predict the stock’s price one-hundred-eighty (180) days after the end of the reporting period.</w:t>
      </w:r>
    </w:p>
    <w:p w14:paraId="343B83F0" w14:textId="4F640F46" w:rsidR="00C70255" w:rsidRDefault="00C70255" w:rsidP="00C70255">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The stock’s closing price at the end of each reported day of trading was considered for the purposes of analysis, as the close price for the forecasted date would ultimately be most relevant to those shareholders who would be comfortable holding the stock over longer periods of time.</w:t>
      </w:r>
    </w:p>
    <w:p w14:paraId="508B9A50" w14:textId="3FFC0CD9" w:rsidR="00C70255" w:rsidRPr="00527741" w:rsidRDefault="00C70255" w:rsidP="00C70255">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HomeWorks Financial Services, LLC, will use this report’s findings to prescribe how Delta Airlines shareholders can maximize their holdings for increased profit during stock trading.</w:t>
      </w:r>
    </w:p>
    <w:p w14:paraId="5B948D60" w14:textId="4E268024"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Objective</w:t>
      </w:r>
    </w:p>
    <w:p w14:paraId="794F72F2" w14:textId="4788FA27" w:rsidR="00791666" w:rsidRDefault="00C70255" w:rsidP="00791666">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HomeWorks Financial Services, LLC,</w:t>
      </w:r>
      <w:r w:rsidR="00791666">
        <w:rPr>
          <w:rFonts w:ascii="Times New Roman" w:hAnsi="Times New Roman" w:cs="Times New Roman"/>
          <w:sz w:val="22"/>
          <w:szCs w:val="22"/>
        </w:rPr>
        <w:t xml:space="preserve"> analyze</w:t>
      </w:r>
      <w:r w:rsidR="00125A3F">
        <w:rPr>
          <w:rFonts w:ascii="Times New Roman" w:hAnsi="Times New Roman" w:cs="Times New Roman"/>
          <w:sz w:val="22"/>
          <w:szCs w:val="22"/>
        </w:rPr>
        <w:t>d</w:t>
      </w:r>
      <w:r w:rsidR="00791666">
        <w:rPr>
          <w:rFonts w:ascii="Times New Roman" w:hAnsi="Times New Roman" w:cs="Times New Roman"/>
          <w:sz w:val="22"/>
          <w:szCs w:val="22"/>
        </w:rPr>
        <w:t xml:space="preserve"> the performance of </w:t>
      </w:r>
      <w:r>
        <w:rPr>
          <w:rFonts w:ascii="Times New Roman" w:hAnsi="Times New Roman" w:cs="Times New Roman"/>
          <w:sz w:val="22"/>
          <w:szCs w:val="22"/>
        </w:rPr>
        <w:t>Delta Airlines</w:t>
      </w:r>
      <w:r w:rsidR="00791666">
        <w:rPr>
          <w:rFonts w:ascii="Times New Roman" w:hAnsi="Times New Roman" w:cs="Times New Roman"/>
          <w:sz w:val="22"/>
          <w:szCs w:val="22"/>
        </w:rPr>
        <w:t xml:space="preserve"> stock, listed publicly on the New York Stock Exchange as “DAL”, over a one-year period from September 19, 2022, to September 18, </w:t>
      </w:r>
      <w:r w:rsidR="00125A3F">
        <w:rPr>
          <w:rFonts w:ascii="Times New Roman" w:hAnsi="Times New Roman" w:cs="Times New Roman"/>
          <w:sz w:val="22"/>
          <w:szCs w:val="22"/>
        </w:rPr>
        <w:t>2023,</w:t>
      </w:r>
      <w:r w:rsidR="00791666">
        <w:rPr>
          <w:rFonts w:ascii="Times New Roman" w:hAnsi="Times New Roman" w:cs="Times New Roman"/>
          <w:sz w:val="22"/>
          <w:szCs w:val="22"/>
        </w:rPr>
        <w:t xml:space="preserve"> to forecast the stock’s performance one-hundred-eighty (180) days from the period’s end.</w:t>
      </w:r>
      <w:r w:rsidR="00125A3F">
        <w:rPr>
          <w:rFonts w:ascii="Times New Roman" w:hAnsi="Times New Roman" w:cs="Times New Roman"/>
          <w:sz w:val="22"/>
          <w:szCs w:val="22"/>
        </w:rPr>
        <w:t xml:space="preserve"> The forecast predicts the stock’s future price with measurable accuracy, which satisfies Delta’s shareholders.</w:t>
      </w:r>
    </w:p>
    <w:p w14:paraId="53C6B05F" w14:textId="31171B80" w:rsidR="00791666" w:rsidRPr="00791666" w:rsidRDefault="00C70255" w:rsidP="00791666">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HomeWorks Financial Services, LLC,</w:t>
      </w:r>
      <w:r w:rsidR="00791666">
        <w:rPr>
          <w:rFonts w:ascii="Times New Roman" w:hAnsi="Times New Roman" w:cs="Times New Roman"/>
          <w:sz w:val="22"/>
          <w:szCs w:val="22"/>
        </w:rPr>
        <w:t xml:space="preserve"> plo</w:t>
      </w:r>
      <w:r w:rsidR="00125A3F">
        <w:rPr>
          <w:rFonts w:ascii="Times New Roman" w:hAnsi="Times New Roman" w:cs="Times New Roman"/>
          <w:sz w:val="22"/>
          <w:szCs w:val="22"/>
        </w:rPr>
        <w:t>t</w:t>
      </w:r>
      <w:r w:rsidR="00791666">
        <w:rPr>
          <w:rFonts w:ascii="Times New Roman" w:hAnsi="Times New Roman" w:cs="Times New Roman"/>
          <w:sz w:val="22"/>
          <w:szCs w:val="22"/>
        </w:rPr>
        <w:t>t</w:t>
      </w:r>
      <w:r w:rsidR="00125A3F">
        <w:rPr>
          <w:rFonts w:ascii="Times New Roman" w:hAnsi="Times New Roman" w:cs="Times New Roman"/>
          <w:sz w:val="22"/>
          <w:szCs w:val="22"/>
        </w:rPr>
        <w:t>ed</w:t>
      </w:r>
      <w:r w:rsidR="00791666">
        <w:rPr>
          <w:rFonts w:ascii="Times New Roman" w:hAnsi="Times New Roman" w:cs="Times New Roman"/>
          <w:sz w:val="22"/>
          <w:szCs w:val="22"/>
        </w:rPr>
        <w:t xml:space="preserve"> the performance of </w:t>
      </w:r>
      <w:r>
        <w:rPr>
          <w:rFonts w:ascii="Times New Roman" w:hAnsi="Times New Roman" w:cs="Times New Roman"/>
          <w:sz w:val="22"/>
          <w:szCs w:val="22"/>
        </w:rPr>
        <w:t>Delta’s</w:t>
      </w:r>
      <w:r w:rsidR="00791666">
        <w:rPr>
          <w:rFonts w:ascii="Times New Roman" w:hAnsi="Times New Roman" w:cs="Times New Roman"/>
          <w:sz w:val="22"/>
          <w:szCs w:val="22"/>
        </w:rPr>
        <w:t xml:space="preserve"> stock using a simple Moving Average model, as well as using an Exponential Smoothing model, to</w:t>
      </w:r>
      <w:r w:rsidR="00125A3F">
        <w:rPr>
          <w:rFonts w:ascii="Times New Roman" w:hAnsi="Times New Roman" w:cs="Times New Roman"/>
          <w:sz w:val="22"/>
          <w:szCs w:val="22"/>
        </w:rPr>
        <w:t xml:space="preserve"> </w:t>
      </w:r>
      <w:r w:rsidR="00791666">
        <w:rPr>
          <w:rFonts w:ascii="Times New Roman" w:hAnsi="Times New Roman" w:cs="Times New Roman"/>
          <w:sz w:val="22"/>
          <w:szCs w:val="22"/>
        </w:rPr>
        <w:t xml:space="preserve">visualize the trends in stock price over the one-year </w:t>
      </w:r>
      <w:r w:rsidR="00125A3F">
        <w:rPr>
          <w:rFonts w:ascii="Times New Roman" w:hAnsi="Times New Roman" w:cs="Times New Roman"/>
          <w:sz w:val="22"/>
          <w:szCs w:val="22"/>
        </w:rPr>
        <w:t xml:space="preserve">period. Based on these trends, the forecasting model </w:t>
      </w:r>
      <w:r w:rsidR="00075179">
        <w:rPr>
          <w:rFonts w:ascii="Times New Roman" w:hAnsi="Times New Roman" w:cs="Times New Roman"/>
          <w:sz w:val="22"/>
          <w:szCs w:val="22"/>
        </w:rPr>
        <w:t>would provide a reasonably accurate and statistically significant prediction of the stock’s future price.</w:t>
      </w:r>
    </w:p>
    <w:p w14:paraId="6EDEAD9E" w14:textId="2447CE21"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Data Discussion</w:t>
      </w:r>
    </w:p>
    <w:p w14:paraId="6384D29D" w14:textId="13B2FB4F" w:rsidR="00791666" w:rsidRDefault="006E63C7" w:rsidP="006E63C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Delta Airlines’ stock performance figures, specifically the close price at the end of each day of trading, were used as input for the Moving Average and Exponential Smoothing models; these prices </w:t>
      </w:r>
      <w:r>
        <w:rPr>
          <w:rFonts w:ascii="Times New Roman" w:hAnsi="Times New Roman" w:cs="Times New Roman"/>
          <w:sz w:val="22"/>
          <w:szCs w:val="22"/>
        </w:rPr>
        <w:lastRenderedPageBreak/>
        <w:t>ranged from $28.02 to approx. $48.69 and demonstrated that the stock price climbed and fell moderately on semi-regular intervals of around three (3) months.</w:t>
      </w:r>
    </w:p>
    <w:p w14:paraId="775B4480" w14:textId="412D749E" w:rsidR="006E63C7" w:rsidRPr="006E63C7" w:rsidRDefault="006E63C7" w:rsidP="006E63C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The input data was reported by the New York Stock Exchange, aggregated by Yahoo! Finance, and collected for analyzation </w:t>
      </w:r>
      <w:r w:rsidR="00C70255">
        <w:rPr>
          <w:rFonts w:ascii="Times New Roman" w:hAnsi="Times New Roman" w:cs="Times New Roman"/>
          <w:sz w:val="22"/>
          <w:szCs w:val="22"/>
        </w:rPr>
        <w:t xml:space="preserve">by HomeWorks Financial Services, LLC, </w:t>
      </w:r>
      <w:r>
        <w:rPr>
          <w:rFonts w:ascii="Times New Roman" w:hAnsi="Times New Roman" w:cs="Times New Roman"/>
          <w:sz w:val="22"/>
          <w:szCs w:val="22"/>
        </w:rPr>
        <w:t xml:space="preserve">on September </w:t>
      </w:r>
      <w:r w:rsidR="00075179">
        <w:rPr>
          <w:rFonts w:ascii="Times New Roman" w:hAnsi="Times New Roman" w:cs="Times New Roman"/>
          <w:sz w:val="22"/>
          <w:szCs w:val="22"/>
        </w:rPr>
        <w:t>19</w:t>
      </w:r>
      <w:r>
        <w:rPr>
          <w:rFonts w:ascii="Times New Roman" w:hAnsi="Times New Roman" w:cs="Times New Roman"/>
          <w:sz w:val="22"/>
          <w:szCs w:val="22"/>
        </w:rPr>
        <w:t>, 2023.</w:t>
      </w:r>
      <w:r w:rsidR="00075179">
        <w:rPr>
          <w:rFonts w:ascii="Times New Roman" w:hAnsi="Times New Roman" w:cs="Times New Roman"/>
          <w:sz w:val="22"/>
          <w:szCs w:val="22"/>
        </w:rPr>
        <w:t xml:space="preserve"> Other input data in the aggregate report which were not used for the purposes of future stock price analysis included: the stock’s opening price at the beginning of each day of trading, the stock’s highest price during each day of trading, the stock’s lowest price during each day of trading, the stock’s adjusted closing price at the end of each day of trading, and the volume of trades associated with the stock during each day of trading.</w:t>
      </w:r>
    </w:p>
    <w:p w14:paraId="56E39962" w14:textId="77289796"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Model Methodology</w:t>
      </w:r>
    </w:p>
    <w:p w14:paraId="44425B13" w14:textId="269C8F33" w:rsidR="001C3652" w:rsidRDefault="00C70255" w:rsidP="001C365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HomeWorks Financial Services, LLC,</w:t>
      </w:r>
      <w:r w:rsidR="00075179">
        <w:rPr>
          <w:rFonts w:ascii="Times New Roman" w:hAnsi="Times New Roman" w:cs="Times New Roman"/>
          <w:sz w:val="22"/>
          <w:szCs w:val="22"/>
        </w:rPr>
        <w:t xml:space="preserve"> </w:t>
      </w:r>
      <w:r w:rsidR="001C3652">
        <w:rPr>
          <w:rFonts w:ascii="Times New Roman" w:hAnsi="Times New Roman" w:cs="Times New Roman"/>
          <w:sz w:val="22"/>
          <w:szCs w:val="22"/>
        </w:rPr>
        <w:t>chose a simple Moving Average analysis of the stock price over a ten (10) day period because it effectively reduces the impact of outlier data points on the linear forecast without placing too much emphasis on the data observed near the end of the one-year period. For this model, it is understood that the linear forecast equation is formatted such that Y equals the result of a prediction</w:t>
      </w:r>
      <w:r w:rsidR="00D43CCD">
        <w:rPr>
          <w:rFonts w:ascii="Times New Roman" w:hAnsi="Times New Roman" w:cs="Times New Roman"/>
          <w:sz w:val="22"/>
          <w:szCs w:val="22"/>
        </w:rPr>
        <w:t xml:space="preserve">, </w:t>
      </w:r>
      <w:r w:rsidR="001C3652">
        <w:rPr>
          <w:rFonts w:ascii="Times New Roman" w:hAnsi="Times New Roman" w:cs="Times New Roman"/>
          <w:sz w:val="22"/>
          <w:szCs w:val="22"/>
        </w:rPr>
        <w:t>X equals the numerical representation of the date which the prediction is being made for</w:t>
      </w:r>
      <w:r w:rsidR="00D43CCD">
        <w:rPr>
          <w:rFonts w:ascii="Times New Roman" w:hAnsi="Times New Roman" w:cs="Times New Roman"/>
          <w:sz w:val="22"/>
          <w:szCs w:val="22"/>
        </w:rPr>
        <w:t>, and the calculated R</w:t>
      </w:r>
      <w:r w:rsidR="00D43CCD" w:rsidRPr="00D43CCD">
        <w:rPr>
          <w:rFonts w:ascii="Times New Roman" w:hAnsi="Times New Roman" w:cs="Times New Roman"/>
          <w:sz w:val="22"/>
          <w:szCs w:val="22"/>
          <w:vertAlign w:val="superscript"/>
        </w:rPr>
        <w:t>2</w:t>
      </w:r>
      <w:r w:rsidR="00D43CCD">
        <w:rPr>
          <w:rFonts w:ascii="Times New Roman" w:hAnsi="Times New Roman" w:cs="Times New Roman"/>
          <w:sz w:val="22"/>
          <w:szCs w:val="22"/>
        </w:rPr>
        <w:t xml:space="preserve"> value equals the likelihood that a prediction is accurate</w:t>
      </w:r>
      <w:r w:rsidR="001C3652">
        <w:rPr>
          <w:rFonts w:ascii="Times New Roman" w:hAnsi="Times New Roman" w:cs="Times New Roman"/>
          <w:sz w:val="22"/>
          <w:szCs w:val="22"/>
        </w:rPr>
        <w:t>.</w:t>
      </w:r>
    </w:p>
    <w:p w14:paraId="5D73E84F" w14:textId="4ADC554A" w:rsidR="00791666" w:rsidRDefault="001C3652" w:rsidP="001C365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However, because stock prices are highly volatile and are more accurately forecasted when considering the most recent trends in stock performance, </w:t>
      </w:r>
      <w:r w:rsidR="00376B11">
        <w:rPr>
          <w:rFonts w:ascii="Times New Roman" w:hAnsi="Times New Roman" w:cs="Times New Roman"/>
          <w:sz w:val="22"/>
          <w:szCs w:val="22"/>
        </w:rPr>
        <w:t>HomeWorks Financial Services, LLC,</w:t>
      </w:r>
      <w:r>
        <w:rPr>
          <w:rFonts w:ascii="Times New Roman" w:hAnsi="Times New Roman" w:cs="Times New Roman"/>
          <w:sz w:val="22"/>
          <w:szCs w:val="22"/>
        </w:rPr>
        <w:t xml:space="preserve"> ultimately chose not to rely on the simple Moving Average forecasting method. Instead, the stock price was further analyzed using an Exponential Smoothing model over a thirty (30) day period because it more accurately reflects recent performance trends while still reducing the impact of outlier data. </w:t>
      </w:r>
      <w:r w:rsidR="00D43CCD">
        <w:rPr>
          <w:rFonts w:ascii="Times New Roman" w:hAnsi="Times New Roman" w:cs="Times New Roman"/>
          <w:sz w:val="22"/>
          <w:szCs w:val="22"/>
        </w:rPr>
        <w:t>The same linear forecast equation format from the simple Moving Average model applies to the Exponential Smoothing model.</w:t>
      </w:r>
    </w:p>
    <w:p w14:paraId="4C679E6C" w14:textId="3A05D89C" w:rsidR="00D43CCD" w:rsidRPr="00075179" w:rsidRDefault="00D43CCD" w:rsidP="001C365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After the Exponential Smoothing analysis was conducted, a full linear regression analysis was conducted to serve as the outcome for forecasting the stock’s future price because the equation overlayed on the Exponential Smoothing visualization was rounded for the sake of readability.</w:t>
      </w:r>
    </w:p>
    <w:p w14:paraId="6BA59238" w14:textId="5940D933"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lastRenderedPageBreak/>
        <w:t>Analysis Results</w:t>
      </w:r>
    </w:p>
    <w:p w14:paraId="21CDDEBF" w14:textId="596C94B8" w:rsidR="00791666" w:rsidRDefault="00D43CCD" w:rsidP="00D43CCD">
      <w:pPr>
        <w:spacing w:line="480" w:lineRule="auto"/>
        <w:ind w:left="360" w:firstLine="360"/>
        <w:rPr>
          <w:rFonts w:ascii="Times New Roman" w:eastAsiaTheme="minorEastAsia" w:hAnsi="Times New Roman" w:cs="Times New Roman"/>
          <w:sz w:val="22"/>
          <w:szCs w:val="22"/>
        </w:rPr>
      </w:pPr>
      <w:r>
        <w:rPr>
          <w:rFonts w:ascii="Times New Roman" w:hAnsi="Times New Roman" w:cs="Times New Roman"/>
          <w:sz w:val="22"/>
          <w:szCs w:val="22"/>
        </w:rPr>
        <w:t xml:space="preserve">The following linear forecasting equation associated with the simple Moving Average analysis conducted by </w:t>
      </w:r>
      <w:r w:rsidR="00376B11">
        <w:rPr>
          <w:rFonts w:ascii="Times New Roman" w:hAnsi="Times New Roman" w:cs="Times New Roman"/>
          <w:sz w:val="22"/>
          <w:szCs w:val="22"/>
        </w:rPr>
        <w:t>HomeWorks Financial Services, LLC</w:t>
      </w:r>
      <w:r>
        <w:rPr>
          <w:rFonts w:ascii="Times New Roman" w:hAnsi="Times New Roman" w:cs="Times New Roman"/>
          <w:sz w:val="22"/>
          <w:szCs w:val="22"/>
        </w:rPr>
        <w:t xml:space="preserve">, which was not used to predict the stock’s future performance, is provided for comparison: </w:t>
      </w:r>
      <m:oMath>
        <m:r>
          <w:rPr>
            <w:rFonts w:ascii="Cambria Math" w:hAnsi="Cambria Math" w:cs="Times New Roman"/>
            <w:sz w:val="22"/>
            <w:szCs w:val="22"/>
          </w:rPr>
          <m:t>y=0.0368x-1619.6</m:t>
        </m:r>
      </m:oMath>
      <w:r>
        <w:rPr>
          <w:rFonts w:ascii="Times New Roman" w:eastAsiaTheme="minorEastAsia" w:hAnsi="Times New Roman" w:cs="Times New Roman"/>
          <w:sz w:val="22"/>
          <w:szCs w:val="22"/>
        </w:rPr>
        <w:t>. The calculated R</w:t>
      </w:r>
      <w:r w:rsidRPr="00D43CCD">
        <w:rPr>
          <w:rFonts w:ascii="Times New Roman" w:eastAsiaTheme="minorEastAsia" w:hAnsi="Times New Roman" w:cs="Times New Roman"/>
          <w:sz w:val="22"/>
          <w:szCs w:val="22"/>
          <w:vertAlign w:val="superscript"/>
        </w:rPr>
        <w:t>2</w:t>
      </w:r>
      <w:r>
        <w:rPr>
          <w:rFonts w:ascii="Times New Roman" w:eastAsiaTheme="minorEastAsia" w:hAnsi="Times New Roman" w:cs="Times New Roman"/>
          <w:sz w:val="22"/>
          <w:szCs w:val="22"/>
        </w:rPr>
        <w:t xml:space="preserve"> value is: </w:t>
      </w:r>
      <m:oMath>
        <m:sSup>
          <m:sSupPr>
            <m:ctrlPr>
              <w:rPr>
                <w:rFonts w:ascii="Cambria Math" w:eastAsiaTheme="minorEastAsia" w:hAnsi="Cambria Math" w:cs="Times New Roman"/>
                <w:i/>
                <w:sz w:val="22"/>
                <w:szCs w:val="22"/>
              </w:rPr>
            </m:ctrlPr>
          </m:sSupPr>
          <m:e>
            <m:r>
              <w:rPr>
                <w:rFonts w:ascii="Cambria Math" w:eastAsiaTheme="minorEastAsia" w:hAnsi="Cambria Math" w:cs="Times New Roman"/>
                <w:sz w:val="22"/>
                <w:szCs w:val="22"/>
              </w:rPr>
              <m:t>R</m:t>
            </m:r>
          </m:e>
          <m:sup>
            <m:r>
              <w:rPr>
                <w:rFonts w:ascii="Cambria Math" w:eastAsiaTheme="minorEastAsia" w:hAnsi="Cambria Math" w:cs="Times New Roman"/>
                <w:sz w:val="22"/>
                <w:szCs w:val="22"/>
              </w:rPr>
              <m:t>2</m:t>
            </m:r>
          </m:sup>
        </m:sSup>
        <m:r>
          <w:rPr>
            <w:rFonts w:ascii="Cambria Math" w:eastAsiaTheme="minorEastAsia" w:hAnsi="Cambria Math" w:cs="Times New Roman"/>
            <w:sz w:val="22"/>
            <w:szCs w:val="22"/>
          </w:rPr>
          <m:t>=0.5873</m:t>
        </m:r>
      </m:oMath>
      <w:r>
        <w:rPr>
          <w:rFonts w:ascii="Times New Roman" w:eastAsiaTheme="minorEastAsia" w:hAnsi="Times New Roman" w:cs="Times New Roman"/>
          <w:sz w:val="22"/>
          <w:szCs w:val="22"/>
        </w:rPr>
        <w:t>.</w:t>
      </w:r>
    </w:p>
    <w:p w14:paraId="29EC02F1" w14:textId="1D1EAD12" w:rsidR="00D43CCD" w:rsidRPr="00D43CCD" w:rsidRDefault="00D43CCD" w:rsidP="00D43CCD">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The following linear regression equation associated with the Exponential Smoothing analysis conducted by </w:t>
      </w:r>
      <w:r w:rsidR="00376B11">
        <w:rPr>
          <w:rFonts w:ascii="Times New Roman" w:hAnsi="Times New Roman" w:cs="Times New Roman"/>
          <w:sz w:val="22"/>
          <w:szCs w:val="22"/>
        </w:rPr>
        <w:t>HomeWorks Financial Services, LLC</w:t>
      </w:r>
      <w:r>
        <w:rPr>
          <w:rFonts w:ascii="Times New Roman" w:hAnsi="Times New Roman" w:cs="Times New Roman"/>
          <w:sz w:val="22"/>
          <w:szCs w:val="22"/>
        </w:rPr>
        <w:t xml:space="preserve">, which was used to predict the stock’s future performance, is: </w:t>
      </w:r>
      <m:oMath>
        <m:r>
          <w:rPr>
            <w:rFonts w:ascii="Cambria Math" w:hAnsi="Cambria Math" w:cs="Times New Roman"/>
            <w:sz w:val="22"/>
            <w:szCs w:val="22"/>
          </w:rPr>
          <m:t>y=</m:t>
        </m:r>
        <m:r>
          <w:rPr>
            <w:rFonts w:ascii="Cambria Math" w:hAnsi="Cambria Math" w:cs="Times New Roman"/>
            <w:sz w:val="22"/>
            <w:szCs w:val="22"/>
          </w:rPr>
          <m:t>0.03594815x- 1580.4961</m:t>
        </m:r>
      </m:oMath>
      <w:r w:rsidR="00952543">
        <w:rPr>
          <w:rFonts w:ascii="Times New Roman" w:eastAsiaTheme="minorEastAsia" w:hAnsi="Times New Roman" w:cs="Times New Roman"/>
          <w:sz w:val="22"/>
          <w:szCs w:val="22"/>
        </w:rPr>
        <w:t xml:space="preserve">. The calculated R2 value is: </w:t>
      </w:r>
      <m:oMath>
        <m:sSup>
          <m:sSupPr>
            <m:ctrlPr>
              <w:rPr>
                <w:rFonts w:ascii="Cambria Math" w:eastAsiaTheme="minorEastAsia" w:hAnsi="Cambria Math" w:cs="Times New Roman"/>
                <w:i/>
                <w:sz w:val="22"/>
                <w:szCs w:val="22"/>
              </w:rPr>
            </m:ctrlPr>
          </m:sSupPr>
          <m:e>
            <m:r>
              <w:rPr>
                <w:rFonts w:ascii="Cambria Math" w:eastAsiaTheme="minorEastAsia" w:hAnsi="Cambria Math" w:cs="Times New Roman"/>
                <w:sz w:val="22"/>
                <w:szCs w:val="22"/>
              </w:rPr>
              <m:t>R</m:t>
            </m:r>
          </m:e>
          <m:sup>
            <m:r>
              <w:rPr>
                <w:rFonts w:ascii="Cambria Math" w:eastAsiaTheme="minorEastAsia" w:hAnsi="Cambria Math" w:cs="Times New Roman"/>
                <w:sz w:val="22"/>
                <w:szCs w:val="22"/>
              </w:rPr>
              <m:t>2</m:t>
            </m:r>
          </m:sup>
        </m:sSup>
        <m:r>
          <w:rPr>
            <w:rFonts w:ascii="Cambria Math" w:eastAsiaTheme="minorEastAsia" w:hAnsi="Cambria Math" w:cs="Times New Roman"/>
            <w:sz w:val="22"/>
            <w:szCs w:val="22"/>
          </w:rPr>
          <m:t>=0.57236946</m:t>
        </m:r>
      </m:oMath>
      <w:r w:rsidR="00952543">
        <w:rPr>
          <w:rFonts w:ascii="Times New Roman" w:eastAsiaTheme="minorEastAsia" w:hAnsi="Times New Roman" w:cs="Times New Roman"/>
          <w:sz w:val="22"/>
          <w:szCs w:val="22"/>
        </w:rPr>
        <w:t>. One-hundred-eighty (180) days after the end of the stock price reporting period, which was September 18, 2023, the stock price was predicted to equal approx. $50.37. According to the R</w:t>
      </w:r>
      <w:r w:rsidR="00952543" w:rsidRPr="00952543">
        <w:rPr>
          <w:rFonts w:ascii="Times New Roman" w:eastAsiaTheme="minorEastAsia" w:hAnsi="Times New Roman" w:cs="Times New Roman"/>
          <w:sz w:val="22"/>
          <w:szCs w:val="22"/>
          <w:vertAlign w:val="superscript"/>
        </w:rPr>
        <w:t>2</w:t>
      </w:r>
      <w:r w:rsidR="00952543">
        <w:rPr>
          <w:rFonts w:ascii="Times New Roman" w:eastAsiaTheme="minorEastAsia" w:hAnsi="Times New Roman" w:cs="Times New Roman"/>
          <w:sz w:val="22"/>
          <w:szCs w:val="22"/>
        </w:rPr>
        <w:t xml:space="preserve"> for this forecast, there is an approx. 57.24% chance that the predicted stock price is accurate.</w:t>
      </w:r>
    </w:p>
    <w:p w14:paraId="5B3162D9" w14:textId="15424CD9"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Suggestions</w:t>
      </w:r>
    </w:p>
    <w:p w14:paraId="407C7A43" w14:textId="2359CFE3" w:rsidR="00791666" w:rsidRPr="00952543" w:rsidRDefault="00376B11" w:rsidP="00952543">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T</w:t>
      </w:r>
      <w:r w:rsidR="00952543">
        <w:rPr>
          <w:rFonts w:ascii="Times New Roman" w:hAnsi="Times New Roman" w:cs="Times New Roman"/>
          <w:sz w:val="22"/>
          <w:szCs w:val="22"/>
        </w:rPr>
        <w:t xml:space="preserve">he best investment for current and potential </w:t>
      </w:r>
      <w:r>
        <w:rPr>
          <w:rFonts w:ascii="Times New Roman" w:hAnsi="Times New Roman" w:cs="Times New Roman"/>
          <w:sz w:val="22"/>
          <w:szCs w:val="22"/>
        </w:rPr>
        <w:t xml:space="preserve">Delta Airlines </w:t>
      </w:r>
      <w:r w:rsidR="00952543">
        <w:rPr>
          <w:rFonts w:ascii="Times New Roman" w:hAnsi="Times New Roman" w:cs="Times New Roman"/>
          <w:sz w:val="22"/>
          <w:szCs w:val="22"/>
        </w:rPr>
        <w:t xml:space="preserve">stockholders would be to purchase Delta stock during the one-hundred-eighty (180) days after the end of the one-year stock performance reporting period so long as the price at the time of purchase is lower than the predicted future price; then, at the end of the one-hundred-eighty (180) days on </w:t>
      </w:r>
      <w:r w:rsidR="00527741">
        <w:rPr>
          <w:rFonts w:ascii="Times New Roman" w:hAnsi="Times New Roman" w:cs="Times New Roman"/>
          <w:sz w:val="22"/>
          <w:szCs w:val="22"/>
        </w:rPr>
        <w:t>March 16, 2024</w:t>
      </w:r>
      <w:r w:rsidR="00952543">
        <w:rPr>
          <w:rFonts w:ascii="Times New Roman" w:hAnsi="Times New Roman" w:cs="Times New Roman"/>
          <w:sz w:val="22"/>
          <w:szCs w:val="22"/>
        </w:rPr>
        <w:t>, sell the stock for anywhere between a marginal and considerable profit.</w:t>
      </w:r>
    </w:p>
    <w:p w14:paraId="0A02353A" w14:textId="2C1AB39A"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Final Summary</w:t>
      </w:r>
    </w:p>
    <w:p w14:paraId="3DC5ADA1" w14:textId="5D229A30" w:rsidR="00791666" w:rsidRDefault="00952543" w:rsidP="00952543">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Considering that multiple forecasting methods for Delta Airlines stock </w:t>
      </w:r>
      <w:r w:rsidR="00527741">
        <w:rPr>
          <w:rFonts w:ascii="Times New Roman" w:hAnsi="Times New Roman" w:cs="Times New Roman"/>
          <w:sz w:val="22"/>
          <w:szCs w:val="22"/>
        </w:rPr>
        <w:t>demonstrated</w:t>
      </w:r>
      <w:r>
        <w:rPr>
          <w:rFonts w:ascii="Times New Roman" w:hAnsi="Times New Roman" w:cs="Times New Roman"/>
          <w:sz w:val="22"/>
          <w:szCs w:val="22"/>
        </w:rPr>
        <w:t xml:space="preserve"> a strong likelihood</w:t>
      </w:r>
      <w:r w:rsidR="00527741">
        <w:rPr>
          <w:rFonts w:ascii="Times New Roman" w:hAnsi="Times New Roman" w:cs="Times New Roman"/>
          <w:sz w:val="22"/>
          <w:szCs w:val="22"/>
        </w:rPr>
        <w:t xml:space="preserve"> (58.73% and 57.24% chance for simple Moving Average and Exponential Smoothing, respectively)</w:t>
      </w:r>
      <w:r>
        <w:rPr>
          <w:rFonts w:ascii="Times New Roman" w:hAnsi="Times New Roman" w:cs="Times New Roman"/>
          <w:sz w:val="22"/>
          <w:szCs w:val="22"/>
        </w:rPr>
        <w:t xml:space="preserve"> that Delta’s stock price would increase after </w:t>
      </w:r>
      <w:r w:rsidR="00527741">
        <w:rPr>
          <w:rFonts w:ascii="Times New Roman" w:hAnsi="Times New Roman" w:cs="Times New Roman"/>
          <w:sz w:val="22"/>
          <w:szCs w:val="22"/>
        </w:rPr>
        <w:t>one-hundred-eighty (180) days from September 18, 2023, our analysis indicates that the stock will continue to perform well and result in increased profits for shareholders.</w:t>
      </w:r>
    </w:p>
    <w:p w14:paraId="7DE9B26F" w14:textId="26F00B1F" w:rsidR="00527741" w:rsidRPr="00952543" w:rsidRDefault="00527741" w:rsidP="00952543">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Although the stock’s performance visualizations show periods of somewhat considerably decreased stock performance, these periods last less than four months on average. The overall analyses of the stock clearly show steady increased performance over longer periods of time.</w:t>
      </w:r>
    </w:p>
    <w:sectPr w:rsidR="00527741" w:rsidRPr="0095254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F0DA3" w14:textId="77777777" w:rsidR="00AD4204" w:rsidRDefault="00AD4204" w:rsidP="001C1756">
      <w:r>
        <w:separator/>
      </w:r>
    </w:p>
  </w:endnote>
  <w:endnote w:type="continuationSeparator" w:id="0">
    <w:p w14:paraId="231E1A85" w14:textId="77777777" w:rsidR="00AD4204" w:rsidRDefault="00AD4204" w:rsidP="001C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16B13" w14:textId="77777777" w:rsidR="00AD4204" w:rsidRDefault="00AD4204" w:rsidP="001C1756">
      <w:r>
        <w:separator/>
      </w:r>
    </w:p>
  </w:footnote>
  <w:footnote w:type="continuationSeparator" w:id="0">
    <w:p w14:paraId="7CB27318" w14:textId="77777777" w:rsidR="00AD4204" w:rsidRDefault="00AD4204" w:rsidP="001C1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E63B" w14:textId="2E71E67E" w:rsidR="008B53D9" w:rsidRDefault="008B53D9">
    <w:pPr>
      <w:pStyle w:val="Header"/>
    </w:pPr>
    <w:r>
      <w:t>October 9, 2023</w:t>
    </w:r>
  </w:p>
  <w:p w14:paraId="602362F6" w14:textId="77777777" w:rsidR="001C1756" w:rsidRDefault="001C1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3422"/>
    <w:multiLevelType w:val="hybridMultilevel"/>
    <w:tmpl w:val="E1725778"/>
    <w:lvl w:ilvl="0" w:tplc="4D80A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35748"/>
    <w:multiLevelType w:val="hybridMultilevel"/>
    <w:tmpl w:val="23A0008C"/>
    <w:lvl w:ilvl="0" w:tplc="9D0AF8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E6096"/>
    <w:multiLevelType w:val="hybridMultilevel"/>
    <w:tmpl w:val="A510E740"/>
    <w:lvl w:ilvl="0" w:tplc="BA5871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F2451"/>
    <w:multiLevelType w:val="hybridMultilevel"/>
    <w:tmpl w:val="90102A18"/>
    <w:lvl w:ilvl="0" w:tplc="959633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33093">
    <w:abstractNumId w:val="1"/>
  </w:num>
  <w:num w:numId="2" w16cid:durableId="751318474">
    <w:abstractNumId w:val="3"/>
  </w:num>
  <w:num w:numId="3" w16cid:durableId="1300453220">
    <w:abstractNumId w:val="2"/>
  </w:num>
  <w:num w:numId="4" w16cid:durableId="124938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79"/>
    <w:rsid w:val="00075179"/>
    <w:rsid w:val="000C0D31"/>
    <w:rsid w:val="00125A3F"/>
    <w:rsid w:val="001B5C79"/>
    <w:rsid w:val="001C1756"/>
    <w:rsid w:val="001C3652"/>
    <w:rsid w:val="00376B11"/>
    <w:rsid w:val="00527741"/>
    <w:rsid w:val="006E63C7"/>
    <w:rsid w:val="00791666"/>
    <w:rsid w:val="008B53D9"/>
    <w:rsid w:val="00952543"/>
    <w:rsid w:val="00A27873"/>
    <w:rsid w:val="00AD4204"/>
    <w:rsid w:val="00C70255"/>
    <w:rsid w:val="00D43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BABD37"/>
  <w15:chartTrackingRefBased/>
  <w15:docId w15:val="{B434D0CE-653E-0647-BF7D-22272D5C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756"/>
    <w:pPr>
      <w:ind w:left="720"/>
      <w:contextualSpacing/>
    </w:pPr>
  </w:style>
  <w:style w:type="paragraph" w:styleId="Header">
    <w:name w:val="header"/>
    <w:basedOn w:val="Normal"/>
    <w:link w:val="HeaderChar"/>
    <w:uiPriority w:val="99"/>
    <w:unhideWhenUsed/>
    <w:rsid w:val="001C1756"/>
    <w:pPr>
      <w:tabs>
        <w:tab w:val="center" w:pos="4680"/>
        <w:tab w:val="right" w:pos="9360"/>
      </w:tabs>
    </w:pPr>
  </w:style>
  <w:style w:type="character" w:customStyle="1" w:styleId="HeaderChar">
    <w:name w:val="Header Char"/>
    <w:basedOn w:val="DefaultParagraphFont"/>
    <w:link w:val="Header"/>
    <w:uiPriority w:val="99"/>
    <w:rsid w:val="001C1756"/>
  </w:style>
  <w:style w:type="paragraph" w:styleId="Footer">
    <w:name w:val="footer"/>
    <w:basedOn w:val="Normal"/>
    <w:link w:val="FooterChar"/>
    <w:uiPriority w:val="99"/>
    <w:unhideWhenUsed/>
    <w:rsid w:val="001C1756"/>
    <w:pPr>
      <w:tabs>
        <w:tab w:val="center" w:pos="4680"/>
        <w:tab w:val="right" w:pos="9360"/>
      </w:tabs>
    </w:pPr>
  </w:style>
  <w:style w:type="character" w:customStyle="1" w:styleId="FooterChar">
    <w:name w:val="Footer Char"/>
    <w:basedOn w:val="DefaultParagraphFont"/>
    <w:link w:val="Footer"/>
    <w:uiPriority w:val="99"/>
    <w:rsid w:val="001C1756"/>
  </w:style>
  <w:style w:type="character" w:styleId="PlaceholderText">
    <w:name w:val="Placeholder Text"/>
    <w:basedOn w:val="DefaultParagraphFont"/>
    <w:uiPriority w:val="99"/>
    <w:semiHidden/>
    <w:rsid w:val="00D43C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Patrick Sullivan</cp:lastModifiedBy>
  <cp:revision>3</cp:revision>
  <dcterms:created xsi:type="dcterms:W3CDTF">2023-10-09T17:51:00Z</dcterms:created>
  <dcterms:modified xsi:type="dcterms:W3CDTF">2023-10-09T22:29:00Z</dcterms:modified>
</cp:coreProperties>
</file>