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653C" w14:textId="7FE34635" w:rsidR="003E1421" w:rsidRPr="003F04BE" w:rsidRDefault="0034135E" w:rsidP="008334E0">
      <w:pPr>
        <w:jc w:val="center"/>
        <w:rPr>
          <w:b/>
          <w:sz w:val="32"/>
        </w:rPr>
      </w:pPr>
      <w:r>
        <w:rPr>
          <w:b/>
          <w:sz w:val="32"/>
        </w:rPr>
        <w:t>Case Study</w:t>
      </w:r>
      <w:r w:rsidR="00C77606">
        <w:rPr>
          <w:b/>
          <w:sz w:val="32"/>
        </w:rPr>
        <w:t xml:space="preserve"> </w:t>
      </w:r>
      <w:r w:rsidR="008844C1">
        <w:rPr>
          <w:b/>
          <w:sz w:val="32"/>
        </w:rPr>
        <w:t xml:space="preserve">– </w:t>
      </w:r>
      <w:r w:rsidR="00796C49">
        <w:rPr>
          <w:b/>
          <w:sz w:val="32"/>
        </w:rPr>
        <w:t>5</w:t>
      </w:r>
      <w:r w:rsidR="00250BB2">
        <w:rPr>
          <w:b/>
          <w:sz w:val="32"/>
        </w:rPr>
        <w:br/>
        <w:t>(</w:t>
      </w:r>
      <w:r w:rsidR="00FF211D">
        <w:rPr>
          <w:b/>
          <w:sz w:val="32"/>
        </w:rPr>
        <w:t>60</w:t>
      </w:r>
      <w:r w:rsidR="00250BB2">
        <w:rPr>
          <w:b/>
          <w:sz w:val="32"/>
        </w:rPr>
        <w:t xml:space="preserve"> points)</w:t>
      </w:r>
    </w:p>
    <w:p w14:paraId="376A314F" w14:textId="1A3416C2" w:rsidR="000442E9" w:rsidRPr="00C70FCB" w:rsidRDefault="000442E9" w:rsidP="000442E9">
      <w:pPr>
        <w:tabs>
          <w:tab w:val="left" w:pos="1260"/>
        </w:tabs>
        <w:spacing w:after="0"/>
        <w:ind w:left="1260" w:right="-270" w:hanging="1260"/>
        <w:rPr>
          <w:bCs/>
          <w:color w:val="FF0000"/>
          <w:sz w:val="24"/>
        </w:rPr>
      </w:pPr>
      <w:r w:rsidRPr="00FB04EC">
        <w:rPr>
          <w:b/>
          <w:sz w:val="24"/>
        </w:rPr>
        <w:t xml:space="preserve">Name: </w:t>
      </w:r>
      <w:r w:rsidR="00C70FCB">
        <w:rPr>
          <w:bCs/>
          <w:color w:val="FF0000"/>
          <w:sz w:val="24"/>
        </w:rPr>
        <w:t>Owen Sullivan</w:t>
      </w:r>
    </w:p>
    <w:p w14:paraId="7FF26435" w14:textId="5EA71C9B" w:rsidR="000442E9" w:rsidRPr="00C70FCB" w:rsidRDefault="000442E9" w:rsidP="000442E9">
      <w:pPr>
        <w:tabs>
          <w:tab w:val="left" w:pos="1260"/>
        </w:tabs>
        <w:spacing w:after="0"/>
        <w:ind w:left="1260" w:right="-270" w:hanging="1260"/>
        <w:rPr>
          <w:bCs/>
          <w:color w:val="FF0000"/>
          <w:sz w:val="24"/>
        </w:rPr>
      </w:pPr>
      <w:r w:rsidRPr="00FB04EC">
        <w:rPr>
          <w:b/>
          <w:sz w:val="24"/>
        </w:rPr>
        <w:t xml:space="preserve">Clemson ID: </w:t>
      </w:r>
      <w:r w:rsidR="00C70FCB">
        <w:rPr>
          <w:bCs/>
          <w:color w:val="FF0000"/>
          <w:sz w:val="24"/>
        </w:rPr>
        <w:t>C34243277</w:t>
      </w:r>
    </w:p>
    <w:p w14:paraId="51BBAB5F" w14:textId="10FB5485" w:rsidR="007F590B" w:rsidRDefault="000442E9" w:rsidP="000442E9">
      <w:pPr>
        <w:tabs>
          <w:tab w:val="left" w:pos="1260"/>
        </w:tabs>
        <w:spacing w:after="0"/>
        <w:ind w:left="1260" w:right="-270" w:hanging="1260"/>
        <w:rPr>
          <w:sz w:val="24"/>
        </w:rPr>
      </w:pPr>
      <w:r w:rsidRPr="00FB04EC">
        <w:rPr>
          <w:b/>
          <w:sz w:val="24"/>
        </w:rPr>
        <w:t>Submission</w:t>
      </w:r>
      <w:r w:rsidRPr="00FB04EC">
        <w:rPr>
          <w:sz w:val="24"/>
        </w:rPr>
        <w:t>:</w:t>
      </w:r>
      <w:r>
        <w:rPr>
          <w:sz w:val="24"/>
        </w:rPr>
        <w:t xml:space="preserve"> </w:t>
      </w:r>
      <w:r w:rsidR="007F590B">
        <w:rPr>
          <w:sz w:val="24"/>
        </w:rPr>
        <w:t xml:space="preserve"> Save this Word document with your answers as a PDF file and upload the PDF file to Canvas. </w:t>
      </w:r>
    </w:p>
    <w:p w14:paraId="1602E83D" w14:textId="77777777" w:rsidR="00D558CC" w:rsidRDefault="00D558CC" w:rsidP="00D558CC"/>
    <w:p w14:paraId="089433F2" w14:textId="78E5A9A7" w:rsidR="00796C49" w:rsidRDefault="000E688D" w:rsidP="002B75AC">
      <w:pPr>
        <w:autoSpaceDE w:val="0"/>
        <w:autoSpaceDN w:val="0"/>
        <w:adjustRightInd w:val="0"/>
      </w:pPr>
      <w:r>
        <w:t xml:space="preserve">Build </w:t>
      </w:r>
      <w:r w:rsidR="002B75AC">
        <w:t xml:space="preserve">a set of </w:t>
      </w:r>
      <w:r>
        <w:t>Data Flow Diagram</w:t>
      </w:r>
      <w:r w:rsidR="00796C49">
        <w:t>s</w:t>
      </w:r>
      <w:r w:rsidR="00861DF1">
        <w:t xml:space="preserve"> for the </w:t>
      </w:r>
      <w:r w:rsidR="00200F6C">
        <w:t xml:space="preserve">EVCSS </w:t>
      </w:r>
      <w:r w:rsidR="00861DF1">
        <w:t>Project</w:t>
      </w:r>
      <w:r w:rsidR="002B75AC">
        <w:t xml:space="preserve">.  </w:t>
      </w:r>
      <w:r w:rsidR="002B75AC" w:rsidRPr="002B75AC">
        <w:rPr>
          <w:rFonts w:cstheme="minorHAnsi"/>
        </w:rPr>
        <w:t xml:space="preserve">Use one of the diagramming tools identified on the “External Tools Page” in Canvas.  </w:t>
      </w:r>
      <w:r w:rsidR="00FF211D">
        <w:rPr>
          <w:rFonts w:cstheme="minorHAnsi"/>
        </w:rPr>
        <w:t>Make sure you have processes and data stores in your level 0 &amp; 1 DFDs.</w:t>
      </w:r>
    </w:p>
    <w:p w14:paraId="38997ED7" w14:textId="382A2ECD" w:rsidR="00796C49" w:rsidRDefault="00080A8E" w:rsidP="000E688D">
      <w:pPr>
        <w:pStyle w:val="ListParagraph"/>
        <w:numPr>
          <w:ilvl w:val="0"/>
          <w:numId w:val="18"/>
        </w:numPr>
      </w:pPr>
      <w:r>
        <w:t>(1</w:t>
      </w:r>
      <w:r w:rsidR="00562552">
        <w:t>0</w:t>
      </w:r>
      <w:r>
        <w:t xml:space="preserve"> pts) </w:t>
      </w:r>
      <w:r w:rsidR="00796C49">
        <w:t>Context Diagram, Fig 5.1</w:t>
      </w:r>
      <w:r w:rsidR="00DB15CF">
        <w:t>1</w:t>
      </w:r>
      <w:r w:rsidR="00796C49">
        <w:t xml:space="preserve"> &amp; Fig 5.1</w:t>
      </w:r>
      <w:r w:rsidR="00DB15CF">
        <w:t>2</w:t>
      </w:r>
    </w:p>
    <w:p w14:paraId="2A6106F1" w14:textId="6F9EBEF1" w:rsidR="00DF6B43" w:rsidRDefault="00DF6B43" w:rsidP="00DF6B43">
      <w:r>
        <w:rPr>
          <w:noProof/>
        </w:rPr>
        <w:drawing>
          <wp:inline distT="0" distB="0" distL="0" distR="0" wp14:anchorId="38101E6F" wp14:editId="245577FA">
            <wp:extent cx="5943600" cy="3642995"/>
            <wp:effectExtent l="0" t="0" r="0" b="0"/>
            <wp:docPr id="456471297" name="Picture 1" descr="A diagram of a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471297" name="Picture 1" descr="A diagram of a system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73216" w14:textId="77777777" w:rsidR="00DF6B43" w:rsidRDefault="00DF6B43" w:rsidP="00DF6B43"/>
    <w:p w14:paraId="2CDF8A46" w14:textId="77777777" w:rsidR="00DF6B43" w:rsidRDefault="00DF6B43" w:rsidP="00DF6B43"/>
    <w:p w14:paraId="1FA56E7F" w14:textId="77777777" w:rsidR="00DF6B43" w:rsidRDefault="00DF6B43" w:rsidP="00DF6B43"/>
    <w:p w14:paraId="3B526581" w14:textId="77777777" w:rsidR="00DF6B43" w:rsidRDefault="00DF6B43" w:rsidP="00DF6B43"/>
    <w:p w14:paraId="01505E29" w14:textId="77777777" w:rsidR="00DF6B43" w:rsidRDefault="00DF6B43" w:rsidP="00DF6B43"/>
    <w:p w14:paraId="3B38C30F" w14:textId="77777777" w:rsidR="00DF6B43" w:rsidRDefault="00DF6B43" w:rsidP="00DF6B43"/>
    <w:p w14:paraId="0FC28953" w14:textId="77777777" w:rsidR="00DF6B43" w:rsidRDefault="00DF6B43" w:rsidP="00DF6B43"/>
    <w:p w14:paraId="5269FF16" w14:textId="6C2C7942" w:rsidR="00562552" w:rsidRDefault="00562552" w:rsidP="000E688D">
      <w:pPr>
        <w:pStyle w:val="ListParagraph"/>
        <w:numPr>
          <w:ilvl w:val="0"/>
          <w:numId w:val="18"/>
        </w:numPr>
      </w:pPr>
      <w:r>
        <w:lastRenderedPageBreak/>
        <w:t>(10 pts) Level 0 DFD, Fig 5.12 &amp; Fig 5.13</w:t>
      </w:r>
    </w:p>
    <w:p w14:paraId="58603C52" w14:textId="63C6A9C5" w:rsidR="00DF6B43" w:rsidRDefault="00B1373E" w:rsidP="00DF6B43">
      <w:r>
        <w:rPr>
          <w:noProof/>
        </w:rPr>
        <w:drawing>
          <wp:inline distT="0" distB="0" distL="0" distR="0" wp14:anchorId="576BC7DA" wp14:editId="18650981">
            <wp:extent cx="5943600" cy="6151880"/>
            <wp:effectExtent l="0" t="0" r="0" b="0"/>
            <wp:docPr id="1778937580" name="Picture 8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937580" name="Picture 8" descr="A diagram of a compan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1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D2EFB" w14:textId="77777777" w:rsidR="00B1373E" w:rsidRDefault="00B1373E" w:rsidP="00DF6B43"/>
    <w:p w14:paraId="043F8FC7" w14:textId="77777777" w:rsidR="00B1373E" w:rsidRDefault="00B1373E" w:rsidP="00DF6B43"/>
    <w:p w14:paraId="45558884" w14:textId="77777777" w:rsidR="00B12ADC" w:rsidRDefault="00B12ADC" w:rsidP="00DF6B43"/>
    <w:p w14:paraId="01EC1809" w14:textId="77777777" w:rsidR="00B12ADC" w:rsidRDefault="00B12ADC" w:rsidP="00DF6B43"/>
    <w:p w14:paraId="1B3E1222" w14:textId="77777777" w:rsidR="00DF6B43" w:rsidRDefault="00DF6B43" w:rsidP="00DF6B43"/>
    <w:p w14:paraId="3C4C7AD9" w14:textId="77777777" w:rsidR="00DF6B43" w:rsidRDefault="00DF6B43" w:rsidP="00DF6B43"/>
    <w:p w14:paraId="5F616268" w14:textId="77777777" w:rsidR="00DF6B43" w:rsidRDefault="00DF6B43" w:rsidP="00DF6B43"/>
    <w:p w14:paraId="73A3D339" w14:textId="7F94D0B1" w:rsidR="00796C49" w:rsidRDefault="00080A8E" w:rsidP="000E688D">
      <w:pPr>
        <w:pStyle w:val="ListParagraph"/>
        <w:numPr>
          <w:ilvl w:val="0"/>
          <w:numId w:val="18"/>
        </w:numPr>
      </w:pPr>
      <w:r>
        <w:lastRenderedPageBreak/>
        <w:t>(</w:t>
      </w:r>
      <w:r w:rsidR="00FF211D">
        <w:t>20</w:t>
      </w:r>
      <w:r>
        <w:t xml:space="preserve"> pts) </w:t>
      </w:r>
      <w:r w:rsidR="00796C49">
        <w:t>Level 1 DFD</w:t>
      </w:r>
      <w:r w:rsidR="00861DF1">
        <w:t>s</w:t>
      </w:r>
      <w:r w:rsidR="00562552">
        <w:t xml:space="preserve"> (</w:t>
      </w:r>
      <w:r w:rsidR="00FF211D">
        <w:t>4</w:t>
      </w:r>
      <w:r w:rsidR="00562552">
        <w:t xml:space="preserve"> </w:t>
      </w:r>
      <w:r w:rsidR="00DB15CF">
        <w:t xml:space="preserve">DFDs </w:t>
      </w:r>
      <w:r w:rsidR="00562552">
        <w:t xml:space="preserve">worth </w:t>
      </w:r>
      <w:r w:rsidR="00FF211D">
        <w:t xml:space="preserve">5 </w:t>
      </w:r>
      <w:r w:rsidR="00562552">
        <w:t>pts each)</w:t>
      </w:r>
      <w:r w:rsidR="00796C49">
        <w:t>, Fig 5.1</w:t>
      </w:r>
      <w:r w:rsidR="00562552">
        <w:t>4</w:t>
      </w:r>
      <w:r w:rsidR="00DB15CF">
        <w:t xml:space="preserve"> &amp; Fig 5.15</w:t>
      </w:r>
    </w:p>
    <w:p w14:paraId="14302586" w14:textId="62CF34AB" w:rsidR="00DF6B43" w:rsidRDefault="008109B7" w:rsidP="00DF6B43">
      <w:r>
        <w:rPr>
          <w:noProof/>
        </w:rPr>
        <w:drawing>
          <wp:inline distT="0" distB="0" distL="0" distR="0" wp14:anchorId="42246F0B" wp14:editId="2504186F">
            <wp:extent cx="5943600" cy="3430270"/>
            <wp:effectExtent l="0" t="0" r="0" b="0"/>
            <wp:docPr id="423074490" name="Picture 3" descr="A diagram of a charg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074490" name="Picture 3" descr="A diagram of a charg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4F307E" w14:textId="208901E1" w:rsidR="008109B7" w:rsidRDefault="00B12ADC" w:rsidP="00DF6B43">
      <w:r>
        <w:rPr>
          <w:noProof/>
        </w:rPr>
        <w:drawing>
          <wp:inline distT="0" distB="0" distL="0" distR="0" wp14:anchorId="4319C897" wp14:editId="309D498D">
            <wp:extent cx="3632200" cy="2871611"/>
            <wp:effectExtent l="0" t="0" r="0" b="0"/>
            <wp:docPr id="552694592" name="Picture 5" descr="A diagram of a charging syst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694592" name="Picture 5" descr="A diagram of a charging system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721" cy="289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57D78" w14:textId="4852B301" w:rsidR="00B12ADC" w:rsidRDefault="00B12ADC" w:rsidP="00DF6B43">
      <w:r>
        <w:rPr>
          <w:noProof/>
        </w:rPr>
        <w:lastRenderedPageBreak/>
        <w:drawing>
          <wp:inline distT="0" distB="0" distL="0" distR="0" wp14:anchorId="27A9F778" wp14:editId="1C66D8F1">
            <wp:extent cx="4177805" cy="4343400"/>
            <wp:effectExtent l="0" t="0" r="635" b="0"/>
            <wp:docPr id="837623761" name="Picture 6" descr="A diagram of electrical gr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23761" name="Picture 6" descr="A diagram of electrical gri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634" cy="434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3E437" w14:textId="4F37602A" w:rsidR="00B12ADC" w:rsidRDefault="003B3F81" w:rsidP="00DF6B43">
      <w:r>
        <w:rPr>
          <w:noProof/>
        </w:rPr>
        <w:drawing>
          <wp:inline distT="0" distB="0" distL="0" distR="0" wp14:anchorId="1A70FCDB" wp14:editId="7261F29B">
            <wp:extent cx="3595431" cy="3894666"/>
            <wp:effectExtent l="0" t="0" r="0" b="4445"/>
            <wp:docPr id="1318737860" name="Picture 7" descr="A diagram of a bill pay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737860" name="Picture 7" descr="A diagram of a bill paymen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6004" cy="390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B18BB" w14:textId="6EE2725B" w:rsidR="00FA0E76" w:rsidRDefault="00080A8E" w:rsidP="00796C49">
      <w:r>
        <w:lastRenderedPageBreak/>
        <w:t>(</w:t>
      </w:r>
      <w:r w:rsidR="00FF211D">
        <w:t>20</w:t>
      </w:r>
      <w:r>
        <w:t xml:space="preserve"> pts) </w:t>
      </w:r>
      <w:r w:rsidR="00796C49">
        <w:t>Build a Data Dictionary</w:t>
      </w:r>
      <w:r w:rsidR="00C73B1F">
        <w:t xml:space="preserve"> </w:t>
      </w:r>
      <w:r w:rsidR="00DB15CF">
        <w:t>(Section 5.8, pp. 164-167)</w:t>
      </w:r>
      <w:r w:rsidR="00C73B1F" w:rsidRPr="00C73B1F">
        <w:t xml:space="preserve"> </w:t>
      </w:r>
      <w:r w:rsidR="00C73B1F">
        <w:t xml:space="preserve">for the </w:t>
      </w:r>
      <w:r w:rsidR="00200F6C">
        <w:t xml:space="preserve">EVCSS </w:t>
      </w:r>
      <w:r w:rsidR="00C73B1F">
        <w:t>Project using Excel</w:t>
      </w:r>
      <w:r w:rsidR="00796C49">
        <w:t xml:space="preserve">, </w:t>
      </w:r>
      <w:r w:rsidR="00C73B1F">
        <w:t>documenting the Data Elements, the Data Flows, Data Stores, Processes, and External Entities based on your data flow diagrams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1440"/>
        <w:gridCol w:w="5575"/>
      </w:tblGrid>
      <w:tr w:rsidR="003B3F81" w14:paraId="5BAC6731" w14:textId="77777777" w:rsidTr="008A28F4">
        <w:tc>
          <w:tcPr>
            <w:tcW w:w="2335" w:type="dxa"/>
          </w:tcPr>
          <w:p w14:paraId="771E6D64" w14:textId="404A26A9" w:rsidR="003B3F81" w:rsidRPr="003B3F81" w:rsidRDefault="008A28F4" w:rsidP="003B3F81">
            <w:pPr>
              <w:jc w:val="center"/>
              <w:rPr>
                <w:b/>
                <w:bCs/>
              </w:rPr>
            </w:pPr>
            <w:r w:rsidRPr="008A28F4">
              <w:rPr>
                <w:b/>
                <w:bCs/>
                <w:color w:val="FF0000"/>
              </w:rPr>
              <w:t>Name</w:t>
            </w:r>
          </w:p>
        </w:tc>
        <w:tc>
          <w:tcPr>
            <w:tcW w:w="1440" w:type="dxa"/>
          </w:tcPr>
          <w:p w14:paraId="655781F9" w14:textId="1DF924F7" w:rsidR="003B3F81" w:rsidRPr="008A28F4" w:rsidRDefault="008A28F4" w:rsidP="008A28F4">
            <w:pPr>
              <w:jc w:val="center"/>
              <w:rPr>
                <w:b/>
                <w:bCs/>
              </w:rPr>
            </w:pPr>
            <w:r w:rsidRPr="008A28F4">
              <w:rPr>
                <w:b/>
                <w:bCs/>
                <w:color w:val="FF0000"/>
              </w:rPr>
              <w:t>Type</w:t>
            </w:r>
          </w:p>
        </w:tc>
        <w:tc>
          <w:tcPr>
            <w:tcW w:w="5575" w:type="dxa"/>
          </w:tcPr>
          <w:p w14:paraId="692215D4" w14:textId="480647C9" w:rsidR="003B3F81" w:rsidRPr="008A28F4" w:rsidRDefault="008A28F4" w:rsidP="008A28F4">
            <w:pPr>
              <w:jc w:val="center"/>
              <w:rPr>
                <w:b/>
                <w:bCs/>
              </w:rPr>
            </w:pPr>
            <w:r w:rsidRPr="008A28F4">
              <w:rPr>
                <w:b/>
                <w:bCs/>
                <w:color w:val="FF0000"/>
              </w:rPr>
              <w:t>Description</w:t>
            </w:r>
          </w:p>
        </w:tc>
      </w:tr>
      <w:tr w:rsidR="003B3F81" w14:paraId="4E5F3A37" w14:textId="77777777" w:rsidTr="008A28F4">
        <w:tc>
          <w:tcPr>
            <w:tcW w:w="2335" w:type="dxa"/>
          </w:tcPr>
          <w:p w14:paraId="7FFFA255" w14:textId="02A777A4" w:rsidR="003B3F81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EVCS USER</w:t>
            </w:r>
          </w:p>
        </w:tc>
        <w:tc>
          <w:tcPr>
            <w:tcW w:w="1440" w:type="dxa"/>
          </w:tcPr>
          <w:p w14:paraId="0D03876D" w14:textId="1EE6B742" w:rsidR="003B3F81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External Entity</w:t>
            </w:r>
          </w:p>
        </w:tc>
        <w:tc>
          <w:tcPr>
            <w:tcW w:w="5575" w:type="dxa"/>
          </w:tcPr>
          <w:p w14:paraId="5B6F0D54" w14:textId="446460DB" w:rsidR="003B3F81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A user of an electric vehicle charging station, which can be either an apartment tenant or an on-demand user</w:t>
            </w:r>
          </w:p>
        </w:tc>
      </w:tr>
      <w:tr w:rsidR="003B3F81" w14:paraId="19E5F904" w14:textId="77777777" w:rsidTr="008A28F4">
        <w:tc>
          <w:tcPr>
            <w:tcW w:w="2335" w:type="dxa"/>
          </w:tcPr>
          <w:p w14:paraId="36491CA2" w14:textId="4E2BB7CB" w:rsidR="003B3F81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ELECTRICAL GRID PROVIDER</w:t>
            </w:r>
          </w:p>
        </w:tc>
        <w:tc>
          <w:tcPr>
            <w:tcW w:w="1440" w:type="dxa"/>
          </w:tcPr>
          <w:p w14:paraId="2DDC45B9" w14:textId="490FAE57" w:rsidR="003B3F81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External Entity</w:t>
            </w:r>
          </w:p>
        </w:tc>
        <w:tc>
          <w:tcPr>
            <w:tcW w:w="5575" w:type="dxa"/>
          </w:tcPr>
          <w:p w14:paraId="766B9FFF" w14:textId="0938893F" w:rsidR="003B3F81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A provider of electricity through a connected grid of wires, poles, and other means of distribution</w:t>
            </w:r>
          </w:p>
        </w:tc>
      </w:tr>
      <w:tr w:rsidR="003B3F81" w14:paraId="5211872A" w14:textId="77777777" w:rsidTr="008A28F4">
        <w:tc>
          <w:tcPr>
            <w:tcW w:w="2335" w:type="dxa"/>
          </w:tcPr>
          <w:p w14:paraId="268EE034" w14:textId="40E42223" w:rsidR="003B3F81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APARTMENT COMPLEX MANAGEMENT</w:t>
            </w:r>
          </w:p>
        </w:tc>
        <w:tc>
          <w:tcPr>
            <w:tcW w:w="1440" w:type="dxa"/>
          </w:tcPr>
          <w:p w14:paraId="523BE4E2" w14:textId="6A162F21" w:rsidR="003B3F81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External Entity</w:t>
            </w:r>
          </w:p>
        </w:tc>
        <w:tc>
          <w:tcPr>
            <w:tcW w:w="5575" w:type="dxa"/>
          </w:tcPr>
          <w:p w14:paraId="5EC8A291" w14:textId="514527DB" w:rsidR="003B3F81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Person(s) responsible for managing the apartment complex where electric vehicle charging stations are available for use, as well as the tenants of the apartment complex</w:t>
            </w:r>
          </w:p>
        </w:tc>
      </w:tr>
      <w:tr w:rsidR="003B3F81" w14:paraId="1B3B6CDE" w14:textId="77777777" w:rsidTr="008A28F4">
        <w:tc>
          <w:tcPr>
            <w:tcW w:w="2335" w:type="dxa"/>
          </w:tcPr>
          <w:p w14:paraId="057B4515" w14:textId="74B2339B" w:rsidR="003B3F81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BILLING SYSTEM</w:t>
            </w:r>
          </w:p>
        </w:tc>
        <w:tc>
          <w:tcPr>
            <w:tcW w:w="1440" w:type="dxa"/>
          </w:tcPr>
          <w:p w14:paraId="6515DC8A" w14:textId="29C277F2" w:rsidR="003B3F81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External Entity</w:t>
            </w:r>
          </w:p>
        </w:tc>
        <w:tc>
          <w:tcPr>
            <w:tcW w:w="5575" w:type="dxa"/>
          </w:tcPr>
          <w:p w14:paraId="12BA96E4" w14:textId="2B0C6043" w:rsidR="003B3F81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System which manages the billing of apartment complex tenants</w:t>
            </w:r>
          </w:p>
        </w:tc>
      </w:tr>
      <w:tr w:rsidR="008A28F4" w14:paraId="3169C590" w14:textId="77777777" w:rsidTr="008A28F4">
        <w:tc>
          <w:tcPr>
            <w:tcW w:w="2335" w:type="dxa"/>
          </w:tcPr>
          <w:p w14:paraId="1DA04F40" w14:textId="4ED27746" w:rsidR="008A28F4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TENANTS</w:t>
            </w:r>
          </w:p>
        </w:tc>
        <w:tc>
          <w:tcPr>
            <w:tcW w:w="1440" w:type="dxa"/>
          </w:tcPr>
          <w:p w14:paraId="2A0D0FC9" w14:textId="79490CEF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Data Store</w:t>
            </w:r>
          </w:p>
        </w:tc>
        <w:tc>
          <w:tcPr>
            <w:tcW w:w="5575" w:type="dxa"/>
          </w:tcPr>
          <w:p w14:paraId="52235B13" w14:textId="248AEAFD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A collection of tenant information, including their lease status, tailored billing rates, and charger allocations</w:t>
            </w:r>
          </w:p>
        </w:tc>
      </w:tr>
      <w:tr w:rsidR="008A28F4" w14:paraId="33828602" w14:textId="77777777" w:rsidTr="008A28F4">
        <w:tc>
          <w:tcPr>
            <w:tcW w:w="2335" w:type="dxa"/>
          </w:tcPr>
          <w:p w14:paraId="16E88BEB" w14:textId="7DD50EC1" w:rsidR="008A28F4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CHARGERS</w:t>
            </w:r>
          </w:p>
        </w:tc>
        <w:tc>
          <w:tcPr>
            <w:tcW w:w="1440" w:type="dxa"/>
          </w:tcPr>
          <w:p w14:paraId="724C7875" w14:textId="61742229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Data Store</w:t>
            </w:r>
          </w:p>
        </w:tc>
        <w:tc>
          <w:tcPr>
            <w:tcW w:w="5575" w:type="dxa"/>
          </w:tcPr>
          <w:p w14:paraId="7AB60248" w14:textId="3FB6E55E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A collection of information about the various electric vehicle charging stations available for use within the apartment complex</w:t>
            </w:r>
          </w:p>
        </w:tc>
      </w:tr>
      <w:tr w:rsidR="008A28F4" w14:paraId="0158B211" w14:textId="77777777" w:rsidTr="008A28F4">
        <w:tc>
          <w:tcPr>
            <w:tcW w:w="2335" w:type="dxa"/>
          </w:tcPr>
          <w:p w14:paraId="398DDFFD" w14:textId="0C904E02" w:rsidR="008A28F4" w:rsidRP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DETERMINE CHARGER STATUS</w:t>
            </w:r>
          </w:p>
        </w:tc>
        <w:tc>
          <w:tcPr>
            <w:tcW w:w="1440" w:type="dxa"/>
          </w:tcPr>
          <w:p w14:paraId="12D6C674" w14:textId="4F3C00C3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548805F0" w14:textId="007E022A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determines whether a charger is available for use by the user attempting to charge an electric vehicle</w:t>
            </w:r>
          </w:p>
        </w:tc>
      </w:tr>
      <w:tr w:rsidR="008A28F4" w14:paraId="5F0F5A46" w14:textId="77777777" w:rsidTr="008A28F4">
        <w:tc>
          <w:tcPr>
            <w:tcW w:w="2335" w:type="dxa"/>
          </w:tcPr>
          <w:p w14:paraId="51DC2070" w14:textId="7EFA6D67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DETERMINE USER CHARGING MODE</w:t>
            </w:r>
          </w:p>
        </w:tc>
        <w:tc>
          <w:tcPr>
            <w:tcW w:w="1440" w:type="dxa"/>
          </w:tcPr>
          <w:p w14:paraId="04D540E2" w14:textId="6A00B97A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0426C990" w14:textId="44077B8D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determines the type of user requesting a charging session (tenant or on-demand)</w:t>
            </w:r>
          </w:p>
        </w:tc>
      </w:tr>
      <w:tr w:rsidR="008A28F4" w14:paraId="5BD02C80" w14:textId="77777777" w:rsidTr="008A28F4">
        <w:tc>
          <w:tcPr>
            <w:tcW w:w="2335" w:type="dxa"/>
          </w:tcPr>
          <w:p w14:paraId="797654B1" w14:textId="457C7154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DETERMINE ALLOCATED CHARGER</w:t>
            </w:r>
          </w:p>
        </w:tc>
        <w:tc>
          <w:tcPr>
            <w:tcW w:w="1440" w:type="dxa"/>
          </w:tcPr>
          <w:p w14:paraId="4B9C1059" w14:textId="39E67433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3D2BFE86" w14:textId="727599B7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determines if a charger is allocated to the tenant requesting a charging session</w:t>
            </w:r>
          </w:p>
        </w:tc>
      </w:tr>
      <w:tr w:rsidR="008A28F4" w14:paraId="6D2169EE" w14:textId="77777777" w:rsidTr="008A28F4">
        <w:tc>
          <w:tcPr>
            <w:tcW w:w="2335" w:type="dxa"/>
          </w:tcPr>
          <w:p w14:paraId="197C180D" w14:textId="02D39DC4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AUTHORIZE TEMPORARY FUNDS HOLD</w:t>
            </w:r>
          </w:p>
        </w:tc>
        <w:tc>
          <w:tcPr>
            <w:tcW w:w="1440" w:type="dxa"/>
          </w:tcPr>
          <w:p w14:paraId="48B35A14" w14:textId="6F8D4A2A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23938350" w14:textId="0D9E795F" w:rsidR="008A28F4" w:rsidRDefault="008A28F4" w:rsidP="00796C49">
            <w:pPr>
              <w:rPr>
                <w:color w:val="FF0000"/>
              </w:rPr>
            </w:pPr>
            <w:r>
              <w:rPr>
                <w:color w:val="FF0000"/>
              </w:rPr>
              <w:t xml:space="preserve">A process which places a temporary hold on an on-demand user’s credit card to verify that they have sufficient funds to </w:t>
            </w:r>
            <w:r w:rsidR="0073750A">
              <w:rPr>
                <w:color w:val="FF0000"/>
              </w:rPr>
              <w:t>cover the balance after charging</w:t>
            </w:r>
          </w:p>
        </w:tc>
      </w:tr>
      <w:tr w:rsidR="0073750A" w14:paraId="39094FA9" w14:textId="77777777" w:rsidTr="008A28F4">
        <w:tc>
          <w:tcPr>
            <w:tcW w:w="2335" w:type="dxa"/>
          </w:tcPr>
          <w:p w14:paraId="740DAA67" w14:textId="3A85567B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ACTIVATE CHARGER MODE</w:t>
            </w:r>
          </w:p>
        </w:tc>
        <w:tc>
          <w:tcPr>
            <w:tcW w:w="1440" w:type="dxa"/>
          </w:tcPr>
          <w:p w14:paraId="4B4F2136" w14:textId="7DC31498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35B9EEC2" w14:textId="3EEBBDAD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activates an electric vehicle charger based on the type of user requesting a charging session</w:t>
            </w:r>
          </w:p>
        </w:tc>
      </w:tr>
      <w:tr w:rsidR="0073750A" w14:paraId="5481E6E7" w14:textId="77777777" w:rsidTr="008A28F4">
        <w:tc>
          <w:tcPr>
            <w:tcW w:w="2335" w:type="dxa"/>
          </w:tcPr>
          <w:p w14:paraId="453D0EB8" w14:textId="752BE1BE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UNLOCK EV CHARGER</w:t>
            </w:r>
          </w:p>
        </w:tc>
        <w:tc>
          <w:tcPr>
            <w:tcW w:w="1440" w:type="dxa"/>
          </w:tcPr>
          <w:p w14:paraId="526A85AE" w14:textId="6B968BF7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5B974012" w14:textId="6B8B7772" w:rsidR="0073750A" w:rsidRDefault="0073750A" w:rsidP="00796C49">
            <w:pPr>
              <w:rPr>
                <w:color w:val="FF0000"/>
              </w:rPr>
            </w:pPr>
            <w:bookmarkStart w:id="0" w:name="_Hlk159533419"/>
            <w:r>
              <w:rPr>
                <w:color w:val="FF0000"/>
              </w:rPr>
              <w:t>A process which unlocks an electric vehicle charger</w:t>
            </w:r>
            <w:bookmarkEnd w:id="0"/>
            <w:r>
              <w:rPr>
                <w:color w:val="FF0000"/>
              </w:rPr>
              <w:t xml:space="preserve"> and prepares it for use</w:t>
            </w:r>
          </w:p>
        </w:tc>
      </w:tr>
      <w:tr w:rsidR="0073750A" w14:paraId="2BE9AAFF" w14:textId="77777777" w:rsidTr="008A28F4">
        <w:tc>
          <w:tcPr>
            <w:tcW w:w="2335" w:type="dxa"/>
          </w:tcPr>
          <w:p w14:paraId="52387C38" w14:textId="48E62082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UPDATE CHARGER STATUS</w:t>
            </w:r>
          </w:p>
        </w:tc>
        <w:tc>
          <w:tcPr>
            <w:tcW w:w="1440" w:type="dxa"/>
          </w:tcPr>
          <w:p w14:paraId="5C024A08" w14:textId="6CB86209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5EDEFF01" w14:textId="764C68BC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updates an electric vehicle charger’s status in CHARGERS</w:t>
            </w:r>
          </w:p>
        </w:tc>
      </w:tr>
      <w:tr w:rsidR="0073750A" w14:paraId="65FF931B" w14:textId="77777777" w:rsidTr="008A28F4">
        <w:tc>
          <w:tcPr>
            <w:tcW w:w="2335" w:type="dxa"/>
          </w:tcPr>
          <w:p w14:paraId="164C5AC4" w14:textId="2CA4673E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UNLOCK CHARGING ADAPTER</w:t>
            </w:r>
          </w:p>
        </w:tc>
        <w:tc>
          <w:tcPr>
            <w:tcW w:w="1440" w:type="dxa"/>
          </w:tcPr>
          <w:p w14:paraId="0A42E1D5" w14:textId="11CF7E6A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42DE5214" w14:textId="5C340EDD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unlocks an electric vehicle charger’s charging adapter</w:t>
            </w:r>
          </w:p>
        </w:tc>
      </w:tr>
      <w:tr w:rsidR="0073750A" w14:paraId="6315F7BC" w14:textId="77777777" w:rsidTr="008A28F4">
        <w:tc>
          <w:tcPr>
            <w:tcW w:w="2335" w:type="dxa"/>
          </w:tcPr>
          <w:p w14:paraId="3D866FD7" w14:textId="33648D22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DETERMINE ELECTRICAL GRID STATUS</w:t>
            </w:r>
          </w:p>
        </w:tc>
        <w:tc>
          <w:tcPr>
            <w:tcW w:w="1440" w:type="dxa"/>
          </w:tcPr>
          <w:p w14:paraId="697D5EE0" w14:textId="0011A562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09AD9411" w14:textId="7AF1EBDE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determines if the electrical grid is ready and able to supply electricity to an electric vehicle and initiates the external flow of electricity</w:t>
            </w:r>
          </w:p>
        </w:tc>
      </w:tr>
      <w:tr w:rsidR="0073750A" w14:paraId="1503521D" w14:textId="77777777" w:rsidTr="008A28F4">
        <w:tc>
          <w:tcPr>
            <w:tcW w:w="2335" w:type="dxa"/>
          </w:tcPr>
          <w:p w14:paraId="61FDC77E" w14:textId="2474D48C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DETERMINE GRID STATUS</w:t>
            </w:r>
          </w:p>
        </w:tc>
        <w:tc>
          <w:tcPr>
            <w:tcW w:w="1440" w:type="dxa"/>
          </w:tcPr>
          <w:p w14:paraId="5FDB215C" w14:textId="5B8C3EAA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749BB889" w14:textId="476FAFC4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determines if the electrical grid can supply electricity or has issues preventing it from doing so</w:t>
            </w:r>
          </w:p>
        </w:tc>
      </w:tr>
      <w:tr w:rsidR="0073750A" w14:paraId="4F9D6BED" w14:textId="77777777" w:rsidTr="008A28F4">
        <w:tc>
          <w:tcPr>
            <w:tcW w:w="2335" w:type="dxa"/>
          </w:tcPr>
          <w:p w14:paraId="6394BB52" w14:textId="41662AA3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DISALLOW CHARGING DUE TO GRID ISSUE</w:t>
            </w:r>
          </w:p>
        </w:tc>
        <w:tc>
          <w:tcPr>
            <w:tcW w:w="1440" w:type="dxa"/>
          </w:tcPr>
          <w:p w14:paraId="5BE33265" w14:textId="4E44D8D3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36114554" w14:textId="6CDAD0CD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notifies the user of an electric vehicle charger of electrical grid issues and prevents the flow of electricity</w:t>
            </w:r>
          </w:p>
        </w:tc>
      </w:tr>
      <w:tr w:rsidR="0073750A" w14:paraId="0C9DF9A4" w14:textId="77777777" w:rsidTr="008A28F4">
        <w:tc>
          <w:tcPr>
            <w:tcW w:w="2335" w:type="dxa"/>
          </w:tcPr>
          <w:p w14:paraId="769F0A21" w14:textId="3EB35A27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DETERMINE COST OF ELECTRICITY</w:t>
            </w:r>
          </w:p>
        </w:tc>
        <w:tc>
          <w:tcPr>
            <w:tcW w:w="1440" w:type="dxa"/>
          </w:tcPr>
          <w:p w14:paraId="4E54843B" w14:textId="1BB7CF18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1B61A906" w14:textId="6D27C2EA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gets the latest electricity cost from an electrical grid</w:t>
            </w:r>
          </w:p>
        </w:tc>
      </w:tr>
      <w:tr w:rsidR="0073750A" w14:paraId="0EC457AE" w14:textId="77777777" w:rsidTr="008A28F4">
        <w:tc>
          <w:tcPr>
            <w:tcW w:w="2335" w:type="dxa"/>
          </w:tcPr>
          <w:p w14:paraId="02E173DD" w14:textId="5CE934CB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ESTABLISH FLOW OF ELECTRICITY</w:t>
            </w:r>
          </w:p>
        </w:tc>
        <w:tc>
          <w:tcPr>
            <w:tcW w:w="1440" w:type="dxa"/>
          </w:tcPr>
          <w:p w14:paraId="1E268728" w14:textId="4B120BAA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471BC0E8" w14:textId="654E1CB7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starts the process of electricity delivery if the electrical grid can do so</w:t>
            </w:r>
          </w:p>
        </w:tc>
      </w:tr>
      <w:tr w:rsidR="0073750A" w14:paraId="62319C98" w14:textId="77777777" w:rsidTr="008A28F4">
        <w:tc>
          <w:tcPr>
            <w:tcW w:w="2335" w:type="dxa"/>
          </w:tcPr>
          <w:p w14:paraId="145CBF73" w14:textId="4602B596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lastRenderedPageBreak/>
              <w:t>BEGIN CHARGING EV</w:t>
            </w:r>
          </w:p>
        </w:tc>
        <w:tc>
          <w:tcPr>
            <w:tcW w:w="1440" w:type="dxa"/>
          </w:tcPr>
          <w:p w14:paraId="45294E5B" w14:textId="07027A46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5CAFE002" w14:textId="573998B8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starts the process of delivering electricity to an electric vehicle</w:t>
            </w:r>
          </w:p>
        </w:tc>
      </w:tr>
      <w:tr w:rsidR="0073750A" w14:paraId="0C883191" w14:textId="77777777" w:rsidTr="008A28F4">
        <w:tc>
          <w:tcPr>
            <w:tcW w:w="2335" w:type="dxa"/>
          </w:tcPr>
          <w:p w14:paraId="4A52C28A" w14:textId="183CADED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STOP CHARGING EV</w:t>
            </w:r>
          </w:p>
        </w:tc>
        <w:tc>
          <w:tcPr>
            <w:tcW w:w="1440" w:type="dxa"/>
          </w:tcPr>
          <w:p w14:paraId="63FDF2B9" w14:textId="0A333C4B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2055897D" w14:textId="360B97CB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ends the delivery of electricity to an electric vehicle</w:t>
            </w:r>
          </w:p>
        </w:tc>
      </w:tr>
      <w:tr w:rsidR="0073750A" w14:paraId="66E968DD" w14:textId="77777777" w:rsidTr="008A28F4">
        <w:tc>
          <w:tcPr>
            <w:tcW w:w="2335" w:type="dxa"/>
          </w:tcPr>
          <w:p w14:paraId="6166B21B" w14:textId="5D4D90F3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END FLOW OF ELECTRICITY</w:t>
            </w:r>
          </w:p>
        </w:tc>
        <w:tc>
          <w:tcPr>
            <w:tcW w:w="1440" w:type="dxa"/>
          </w:tcPr>
          <w:p w14:paraId="3BCB8F33" w14:textId="5BF48668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0B4165C2" w14:textId="535C855A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cuts off the flow of electricity from the electrical grid</w:t>
            </w:r>
          </w:p>
        </w:tc>
      </w:tr>
      <w:tr w:rsidR="0073750A" w14:paraId="5AFED7D7" w14:textId="77777777" w:rsidTr="008A28F4">
        <w:tc>
          <w:tcPr>
            <w:tcW w:w="2335" w:type="dxa"/>
          </w:tcPr>
          <w:p w14:paraId="0839F783" w14:textId="778B978A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GENERATE ELECTRIC BILL</w:t>
            </w:r>
          </w:p>
        </w:tc>
        <w:tc>
          <w:tcPr>
            <w:tcW w:w="1440" w:type="dxa"/>
          </w:tcPr>
          <w:p w14:paraId="32D904AD" w14:textId="67336075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4A954181" w14:textId="093E5D8F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determines the final cost of a charging session and prepares to bill the user</w:t>
            </w:r>
          </w:p>
        </w:tc>
      </w:tr>
      <w:tr w:rsidR="0073750A" w14:paraId="03DCA333" w14:textId="77777777" w:rsidTr="008A28F4">
        <w:tc>
          <w:tcPr>
            <w:tcW w:w="2335" w:type="dxa"/>
          </w:tcPr>
          <w:p w14:paraId="260EAA04" w14:textId="2B1D3B43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BILL USER</w:t>
            </w:r>
          </w:p>
        </w:tc>
        <w:tc>
          <w:tcPr>
            <w:tcW w:w="1440" w:type="dxa"/>
          </w:tcPr>
          <w:p w14:paraId="1B9D3033" w14:textId="4F2D3EA0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784ED8B5" w14:textId="25C94765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posts the electric bill to a tenant’s billing system account or bills an on-demand user’s credit card</w:t>
            </w:r>
          </w:p>
        </w:tc>
      </w:tr>
      <w:tr w:rsidR="0073750A" w14:paraId="1C777A56" w14:textId="77777777" w:rsidTr="008A28F4">
        <w:tc>
          <w:tcPr>
            <w:tcW w:w="2335" w:type="dxa"/>
          </w:tcPr>
          <w:p w14:paraId="1A52B3E0" w14:textId="26CD6C6A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LOCK EV CHARGER</w:t>
            </w:r>
          </w:p>
        </w:tc>
        <w:tc>
          <w:tcPr>
            <w:tcW w:w="1440" w:type="dxa"/>
          </w:tcPr>
          <w:p w14:paraId="71CB665F" w14:textId="5CB5959C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Process</w:t>
            </w:r>
          </w:p>
        </w:tc>
        <w:tc>
          <w:tcPr>
            <w:tcW w:w="5575" w:type="dxa"/>
          </w:tcPr>
          <w:p w14:paraId="23234E16" w14:textId="10E36834" w:rsidR="0073750A" w:rsidRDefault="0073750A" w:rsidP="00796C49">
            <w:pPr>
              <w:rPr>
                <w:color w:val="FF0000"/>
              </w:rPr>
            </w:pPr>
            <w:r>
              <w:rPr>
                <w:color w:val="FF0000"/>
              </w:rPr>
              <w:t>A process which locks an electric vehicle charger’s charging adapter</w:t>
            </w:r>
          </w:p>
        </w:tc>
      </w:tr>
      <w:tr w:rsidR="00B1373E" w14:paraId="1453B2E9" w14:textId="77777777" w:rsidTr="008A28F4">
        <w:tc>
          <w:tcPr>
            <w:tcW w:w="2335" w:type="dxa"/>
          </w:tcPr>
          <w:p w14:paraId="1FBFA0B9" w14:textId="29DF500A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CHARGING REQUEST</w:t>
            </w:r>
          </w:p>
        </w:tc>
        <w:tc>
          <w:tcPr>
            <w:tcW w:w="1440" w:type="dxa"/>
          </w:tcPr>
          <w:p w14:paraId="15859946" w14:textId="64B85A22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Flow</w:t>
            </w:r>
          </w:p>
        </w:tc>
        <w:tc>
          <w:tcPr>
            <w:tcW w:w="5575" w:type="dxa"/>
          </w:tcPr>
          <w:p w14:paraId="4155D185" w14:textId="0383894F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A request from an electric vehicle charger user to begin charging which includes information about the type of vehicle being charged and information about the user</w:t>
            </w:r>
          </w:p>
        </w:tc>
      </w:tr>
      <w:tr w:rsidR="00B1373E" w14:paraId="3D5837D7" w14:textId="77777777" w:rsidTr="008A28F4">
        <w:tc>
          <w:tcPr>
            <w:tcW w:w="2335" w:type="dxa"/>
          </w:tcPr>
          <w:p w14:paraId="218B8AFC" w14:textId="11CCAA7A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PAYMENT</w:t>
            </w:r>
          </w:p>
        </w:tc>
        <w:tc>
          <w:tcPr>
            <w:tcW w:w="1440" w:type="dxa"/>
          </w:tcPr>
          <w:p w14:paraId="015F9F05" w14:textId="2A520EFF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Flow</w:t>
            </w:r>
          </w:p>
        </w:tc>
        <w:tc>
          <w:tcPr>
            <w:tcW w:w="5575" w:type="dxa"/>
          </w:tcPr>
          <w:p w14:paraId="4C644281" w14:textId="691CDDF7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A completed payment from an on-demand user</w:t>
            </w:r>
          </w:p>
        </w:tc>
      </w:tr>
      <w:tr w:rsidR="00B1373E" w14:paraId="55DBACC2" w14:textId="77777777" w:rsidTr="008A28F4">
        <w:tc>
          <w:tcPr>
            <w:tcW w:w="2335" w:type="dxa"/>
          </w:tcPr>
          <w:p w14:paraId="341460CE" w14:textId="64425D9C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REQUIRED VOLTAGE</w:t>
            </w:r>
          </w:p>
        </w:tc>
        <w:tc>
          <w:tcPr>
            <w:tcW w:w="1440" w:type="dxa"/>
          </w:tcPr>
          <w:p w14:paraId="0CD28366" w14:textId="3F7AE2B1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Element</w:t>
            </w:r>
          </w:p>
        </w:tc>
        <w:tc>
          <w:tcPr>
            <w:tcW w:w="5575" w:type="dxa"/>
          </w:tcPr>
          <w:p w14:paraId="03079B41" w14:textId="1E892E8E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Information about the voltage required by the electric vehicle being charged</w:t>
            </w:r>
          </w:p>
        </w:tc>
      </w:tr>
      <w:tr w:rsidR="00B1373E" w14:paraId="3948E7A4" w14:textId="77777777" w:rsidTr="008A28F4">
        <w:tc>
          <w:tcPr>
            <w:tcW w:w="2335" w:type="dxa"/>
          </w:tcPr>
          <w:p w14:paraId="708427C2" w14:textId="01C6A038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FLOW OF ELECTRICITY</w:t>
            </w:r>
          </w:p>
        </w:tc>
        <w:tc>
          <w:tcPr>
            <w:tcW w:w="1440" w:type="dxa"/>
          </w:tcPr>
          <w:p w14:paraId="18F63B6F" w14:textId="393D8057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Flow</w:t>
            </w:r>
          </w:p>
        </w:tc>
        <w:tc>
          <w:tcPr>
            <w:tcW w:w="5575" w:type="dxa"/>
          </w:tcPr>
          <w:p w14:paraId="3952D1D7" w14:textId="1ECB3778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The flow of electricity between an electrical grid and an electric vehicle charger</w:t>
            </w:r>
          </w:p>
        </w:tc>
      </w:tr>
      <w:tr w:rsidR="00B1373E" w14:paraId="03FABE23" w14:textId="77777777" w:rsidTr="008A28F4">
        <w:tc>
          <w:tcPr>
            <w:tcW w:w="2335" w:type="dxa"/>
          </w:tcPr>
          <w:p w14:paraId="4417B63F" w14:textId="1DD0E7C7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GRID STATUS</w:t>
            </w:r>
          </w:p>
        </w:tc>
        <w:tc>
          <w:tcPr>
            <w:tcW w:w="1440" w:type="dxa"/>
          </w:tcPr>
          <w:p w14:paraId="5CB76D5F" w14:textId="141A9038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Element</w:t>
            </w:r>
          </w:p>
        </w:tc>
        <w:tc>
          <w:tcPr>
            <w:tcW w:w="5575" w:type="dxa"/>
          </w:tcPr>
          <w:p w14:paraId="03EBB13A" w14:textId="22A1E7AA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Information about whether an electrical grid is ready and able to provide a flow of electricity</w:t>
            </w:r>
          </w:p>
        </w:tc>
      </w:tr>
      <w:tr w:rsidR="00B1373E" w14:paraId="4F84EB9C" w14:textId="77777777" w:rsidTr="008A28F4">
        <w:tc>
          <w:tcPr>
            <w:tcW w:w="2335" w:type="dxa"/>
          </w:tcPr>
          <w:p w14:paraId="5FFA9004" w14:textId="4F379E6C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ELECTRICITY USAGE</w:t>
            </w:r>
          </w:p>
        </w:tc>
        <w:tc>
          <w:tcPr>
            <w:tcW w:w="1440" w:type="dxa"/>
          </w:tcPr>
          <w:p w14:paraId="2A73CFBB" w14:textId="57D37CB3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Element</w:t>
            </w:r>
          </w:p>
        </w:tc>
        <w:tc>
          <w:tcPr>
            <w:tcW w:w="5575" w:type="dxa"/>
          </w:tcPr>
          <w:p w14:paraId="37F51073" w14:textId="39633172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Information about how much electricity was used during a charging session</w:t>
            </w:r>
          </w:p>
        </w:tc>
      </w:tr>
      <w:tr w:rsidR="00B1373E" w14:paraId="4856189D" w14:textId="77777777" w:rsidTr="008A28F4">
        <w:tc>
          <w:tcPr>
            <w:tcW w:w="2335" w:type="dxa"/>
          </w:tcPr>
          <w:p w14:paraId="0C5DC444" w14:textId="40685A0F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COST OF ELECTRICITY</w:t>
            </w:r>
          </w:p>
        </w:tc>
        <w:tc>
          <w:tcPr>
            <w:tcW w:w="1440" w:type="dxa"/>
          </w:tcPr>
          <w:p w14:paraId="043F1197" w14:textId="553F8699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Element</w:t>
            </w:r>
          </w:p>
        </w:tc>
        <w:tc>
          <w:tcPr>
            <w:tcW w:w="5575" w:type="dxa"/>
          </w:tcPr>
          <w:p w14:paraId="029279C4" w14:textId="33F230F5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Information about how much electricity from a given electrical grid provider costs</w:t>
            </w:r>
          </w:p>
        </w:tc>
      </w:tr>
      <w:tr w:rsidR="00B1373E" w14:paraId="5DC441D6" w14:textId="77777777" w:rsidTr="008A28F4">
        <w:tc>
          <w:tcPr>
            <w:tcW w:w="2335" w:type="dxa"/>
          </w:tcPr>
          <w:p w14:paraId="0BB880EE" w14:textId="642D00B5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TENANT INFORMATION</w:t>
            </w:r>
          </w:p>
        </w:tc>
        <w:tc>
          <w:tcPr>
            <w:tcW w:w="1440" w:type="dxa"/>
          </w:tcPr>
          <w:p w14:paraId="4036D34C" w14:textId="0EE96BED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Element</w:t>
            </w:r>
          </w:p>
        </w:tc>
        <w:tc>
          <w:tcPr>
            <w:tcW w:w="5575" w:type="dxa"/>
          </w:tcPr>
          <w:p w14:paraId="1254E43A" w14:textId="05D35736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Information about an apartment complex tenant, including basic details like their name and apartment unit</w:t>
            </w:r>
          </w:p>
        </w:tc>
      </w:tr>
      <w:tr w:rsidR="00B1373E" w14:paraId="33320B67" w14:textId="77777777" w:rsidTr="008A28F4">
        <w:tc>
          <w:tcPr>
            <w:tcW w:w="2335" w:type="dxa"/>
          </w:tcPr>
          <w:p w14:paraId="3170E844" w14:textId="4B598BAE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TENANT STATUS</w:t>
            </w:r>
          </w:p>
        </w:tc>
        <w:tc>
          <w:tcPr>
            <w:tcW w:w="1440" w:type="dxa"/>
          </w:tcPr>
          <w:p w14:paraId="538B341F" w14:textId="2B02449A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Element</w:t>
            </w:r>
          </w:p>
        </w:tc>
        <w:tc>
          <w:tcPr>
            <w:tcW w:w="5575" w:type="dxa"/>
          </w:tcPr>
          <w:p w14:paraId="1E5B64AD" w14:textId="4436B9A7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Information about an apartment complex tenant’s lease status and whether electric vehicle charging is permitted</w:t>
            </w:r>
          </w:p>
        </w:tc>
      </w:tr>
      <w:tr w:rsidR="00B1373E" w14:paraId="2FED4CAB" w14:textId="77777777" w:rsidTr="008A28F4">
        <w:tc>
          <w:tcPr>
            <w:tcW w:w="2335" w:type="dxa"/>
          </w:tcPr>
          <w:p w14:paraId="77023F81" w14:textId="454703F3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ELECTRIC BILL</w:t>
            </w:r>
          </w:p>
        </w:tc>
        <w:tc>
          <w:tcPr>
            <w:tcW w:w="1440" w:type="dxa"/>
          </w:tcPr>
          <w:p w14:paraId="2C4B2543" w14:textId="6982D59A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Element</w:t>
            </w:r>
          </w:p>
        </w:tc>
        <w:tc>
          <w:tcPr>
            <w:tcW w:w="5575" w:type="dxa"/>
          </w:tcPr>
          <w:p w14:paraId="59E1364F" w14:textId="4162112D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A finalized bill for an electric vehicle charging session</w:t>
            </w:r>
          </w:p>
        </w:tc>
      </w:tr>
      <w:tr w:rsidR="00B1373E" w14:paraId="5F21546F" w14:textId="77777777" w:rsidTr="008A28F4">
        <w:tc>
          <w:tcPr>
            <w:tcW w:w="2335" w:type="dxa"/>
          </w:tcPr>
          <w:p w14:paraId="3230E354" w14:textId="42C23C10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CHARGING STATUS</w:t>
            </w:r>
          </w:p>
        </w:tc>
        <w:tc>
          <w:tcPr>
            <w:tcW w:w="1440" w:type="dxa"/>
          </w:tcPr>
          <w:p w14:paraId="188DCFFB" w14:textId="72CF855F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Element</w:t>
            </w:r>
          </w:p>
        </w:tc>
        <w:tc>
          <w:tcPr>
            <w:tcW w:w="5575" w:type="dxa"/>
          </w:tcPr>
          <w:p w14:paraId="13708815" w14:textId="1D079904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Information about whether an electric vehicle charging station is actively charging an electric vehicle</w:t>
            </w:r>
          </w:p>
        </w:tc>
      </w:tr>
      <w:tr w:rsidR="00B1373E" w14:paraId="06DF3807" w14:textId="77777777" w:rsidTr="008A28F4">
        <w:tc>
          <w:tcPr>
            <w:tcW w:w="2335" w:type="dxa"/>
          </w:tcPr>
          <w:p w14:paraId="2991A4A4" w14:textId="56D7F19A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CREDIT CARD INFORMATION</w:t>
            </w:r>
          </w:p>
        </w:tc>
        <w:tc>
          <w:tcPr>
            <w:tcW w:w="1440" w:type="dxa"/>
          </w:tcPr>
          <w:p w14:paraId="5365FDE5" w14:textId="519F6243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Element</w:t>
            </w:r>
          </w:p>
        </w:tc>
        <w:tc>
          <w:tcPr>
            <w:tcW w:w="5575" w:type="dxa"/>
          </w:tcPr>
          <w:p w14:paraId="0ACA1DA0" w14:textId="5E25E5A2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Information about an on-demand user’s mode of payment, including the payment information itself</w:t>
            </w:r>
          </w:p>
        </w:tc>
      </w:tr>
      <w:tr w:rsidR="00B1373E" w14:paraId="579A6B4F" w14:textId="77777777" w:rsidTr="008A28F4">
        <w:tc>
          <w:tcPr>
            <w:tcW w:w="2335" w:type="dxa"/>
          </w:tcPr>
          <w:p w14:paraId="1C0077E5" w14:textId="6C5B43E9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CHARGER INFORMATION</w:t>
            </w:r>
          </w:p>
        </w:tc>
        <w:tc>
          <w:tcPr>
            <w:tcW w:w="1440" w:type="dxa"/>
          </w:tcPr>
          <w:p w14:paraId="590443DD" w14:textId="28DCB364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>Data Element</w:t>
            </w:r>
          </w:p>
        </w:tc>
        <w:tc>
          <w:tcPr>
            <w:tcW w:w="5575" w:type="dxa"/>
          </w:tcPr>
          <w:p w14:paraId="13AC648F" w14:textId="02A247A3" w:rsidR="00B1373E" w:rsidRDefault="00B1373E" w:rsidP="00796C49">
            <w:pPr>
              <w:rPr>
                <w:color w:val="FF0000"/>
              </w:rPr>
            </w:pPr>
            <w:r>
              <w:rPr>
                <w:color w:val="FF0000"/>
              </w:rPr>
              <w:t xml:space="preserve">Information about an electric vehicle charger’s </w:t>
            </w:r>
            <w:r w:rsidR="003B13A8">
              <w:rPr>
                <w:color w:val="FF0000"/>
              </w:rPr>
              <w:t>allocation status</w:t>
            </w:r>
          </w:p>
        </w:tc>
      </w:tr>
      <w:tr w:rsidR="003B13A8" w14:paraId="38297AF7" w14:textId="77777777" w:rsidTr="008A28F4">
        <w:tc>
          <w:tcPr>
            <w:tcW w:w="2335" w:type="dxa"/>
          </w:tcPr>
          <w:p w14:paraId="1EEAC20B" w14:textId="343AE2A7" w:rsidR="003B13A8" w:rsidRDefault="003B13A8" w:rsidP="00796C49">
            <w:pPr>
              <w:rPr>
                <w:color w:val="FF0000"/>
              </w:rPr>
            </w:pPr>
            <w:r>
              <w:rPr>
                <w:color w:val="FF0000"/>
              </w:rPr>
              <w:t>CHARGER USABILITY STATUS</w:t>
            </w:r>
          </w:p>
        </w:tc>
        <w:tc>
          <w:tcPr>
            <w:tcW w:w="1440" w:type="dxa"/>
          </w:tcPr>
          <w:p w14:paraId="2F22E070" w14:textId="43988487" w:rsidR="003B13A8" w:rsidRDefault="003B13A8" w:rsidP="00796C49">
            <w:pPr>
              <w:rPr>
                <w:color w:val="FF0000"/>
              </w:rPr>
            </w:pPr>
            <w:r>
              <w:rPr>
                <w:color w:val="FF0000"/>
              </w:rPr>
              <w:t>Data Element</w:t>
            </w:r>
          </w:p>
        </w:tc>
        <w:tc>
          <w:tcPr>
            <w:tcW w:w="5575" w:type="dxa"/>
          </w:tcPr>
          <w:p w14:paraId="6808E441" w14:textId="3AC4A052" w:rsidR="003B13A8" w:rsidRDefault="003B13A8" w:rsidP="00796C49">
            <w:pPr>
              <w:rPr>
                <w:color w:val="FF0000"/>
              </w:rPr>
            </w:pPr>
            <w:r>
              <w:rPr>
                <w:color w:val="FF0000"/>
              </w:rPr>
              <w:t>Information about whether an electric vehicle charger can be used by the user requesting a charging session</w:t>
            </w:r>
          </w:p>
        </w:tc>
      </w:tr>
      <w:tr w:rsidR="003B13A8" w14:paraId="4CC0C106" w14:textId="77777777" w:rsidTr="008A28F4">
        <w:tc>
          <w:tcPr>
            <w:tcW w:w="2335" w:type="dxa"/>
          </w:tcPr>
          <w:p w14:paraId="2E3AD833" w14:textId="27A6C027" w:rsidR="003B13A8" w:rsidRDefault="003B13A8" w:rsidP="00796C49">
            <w:pPr>
              <w:rPr>
                <w:color w:val="FF0000"/>
              </w:rPr>
            </w:pPr>
            <w:r>
              <w:rPr>
                <w:color w:val="FF0000"/>
              </w:rPr>
              <w:t>BILLING COMPLETED</w:t>
            </w:r>
          </w:p>
        </w:tc>
        <w:tc>
          <w:tcPr>
            <w:tcW w:w="1440" w:type="dxa"/>
          </w:tcPr>
          <w:p w14:paraId="2284DAB8" w14:textId="1A2D297A" w:rsidR="003B13A8" w:rsidRDefault="003B13A8" w:rsidP="00796C49">
            <w:pPr>
              <w:rPr>
                <w:color w:val="FF0000"/>
              </w:rPr>
            </w:pPr>
            <w:r>
              <w:rPr>
                <w:color w:val="FF0000"/>
              </w:rPr>
              <w:t>Data Flow</w:t>
            </w:r>
          </w:p>
        </w:tc>
        <w:tc>
          <w:tcPr>
            <w:tcW w:w="5575" w:type="dxa"/>
          </w:tcPr>
          <w:p w14:paraId="5DC7958A" w14:textId="3479BEC8" w:rsidR="003B13A8" w:rsidRDefault="003B13A8" w:rsidP="00796C49">
            <w:pPr>
              <w:rPr>
                <w:color w:val="FF0000"/>
              </w:rPr>
            </w:pPr>
            <w:r>
              <w:rPr>
                <w:color w:val="FF0000"/>
              </w:rPr>
              <w:t>Results from a user being successfully billed for a charging session</w:t>
            </w:r>
          </w:p>
        </w:tc>
      </w:tr>
    </w:tbl>
    <w:p w14:paraId="68EE42C8" w14:textId="77777777" w:rsidR="00C73B1F" w:rsidRPr="004054ED" w:rsidRDefault="00C73B1F" w:rsidP="00796C49"/>
    <w:sectPr w:rsidR="00C73B1F" w:rsidRPr="004054ED" w:rsidSect="009776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864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AD096" w14:textId="77777777" w:rsidR="009776B8" w:rsidRDefault="009776B8" w:rsidP="008334E0">
      <w:pPr>
        <w:spacing w:after="0" w:line="240" w:lineRule="auto"/>
      </w:pPr>
      <w:r>
        <w:separator/>
      </w:r>
    </w:p>
  </w:endnote>
  <w:endnote w:type="continuationSeparator" w:id="0">
    <w:p w14:paraId="6C7EA2CF" w14:textId="77777777" w:rsidR="009776B8" w:rsidRDefault="009776B8" w:rsidP="00833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Garamond">
    <w:altName w:val="Cambria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3A146" w14:textId="77777777" w:rsidR="007C19B7" w:rsidRDefault="007C19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4E119" w14:textId="77777777" w:rsidR="007C19B7" w:rsidRDefault="007C19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2AA8B" w14:textId="77777777" w:rsidR="007C19B7" w:rsidRDefault="007C19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D5EF8" w14:textId="77777777" w:rsidR="009776B8" w:rsidRDefault="009776B8" w:rsidP="008334E0">
      <w:pPr>
        <w:spacing w:after="0" w:line="240" w:lineRule="auto"/>
      </w:pPr>
      <w:r>
        <w:separator/>
      </w:r>
    </w:p>
  </w:footnote>
  <w:footnote w:type="continuationSeparator" w:id="0">
    <w:p w14:paraId="0E1D54B1" w14:textId="77777777" w:rsidR="009776B8" w:rsidRDefault="009776B8" w:rsidP="00833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C7E52" w14:textId="77777777" w:rsidR="007C19B7" w:rsidRDefault="007C19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10E5E" w14:textId="77777777" w:rsidR="008334E0" w:rsidRDefault="008334E0" w:rsidP="008334E0">
    <w:pPr>
      <w:pStyle w:val="Header"/>
      <w:spacing w:line="120" w:lineRule="auto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74A95D4" wp14:editId="4362AC86">
              <wp:simplePos x="0" y="0"/>
              <wp:positionH relativeFrom="margin">
                <wp:align>center</wp:align>
              </wp:positionH>
              <wp:positionV relativeFrom="page">
                <wp:posOffset>236829</wp:posOffset>
              </wp:positionV>
              <wp:extent cx="7105650" cy="269875"/>
              <wp:effectExtent l="0" t="0" r="19050" b="1524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05650" cy="2698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E702708" w14:textId="0A317DC5" w:rsidR="008334E0" w:rsidRDefault="007C19B7" w:rsidP="007C19B7">
                          <w:pPr>
                            <w:pStyle w:val="Header"/>
                            <w:tabs>
                              <w:tab w:val="left" w:pos="720"/>
                            </w:tabs>
                            <w:rPr>
                              <w:caps/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>CPSC 3710 Systems Analysis</w:t>
                          </w: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sz w:val="28"/>
                              <w:szCs w:val="28"/>
                            </w:rPr>
                            <w:tab/>
                            <w:t xml:space="preserve">                                                    Case Study - 5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74A95D4" id="Rectangle 197" o:spid="_x0000_s1026" style="position:absolute;margin-left:0;margin-top:18.65pt;width:559.5pt;height:21.25pt;z-index:-251657216;visibility:visible;mso-wrap-style:square;mso-width-percent:0;mso-height-percent:27;mso-wrap-distance-left:9.35pt;mso-wrap-distance-top:0;mso-wrap-distance-right:9.35pt;mso-wrap-distance-bottom:0;mso-position-horizontal:center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" o:allowoverlap="f" fillcolor="black [3213]" strokecolor="black [3213]" strokeweight="1pt">
              <v:textbox style="mso-fit-shape-to-text:t">
                <w:txbxContent>
                  <w:p w14:paraId="6E702708" w14:textId="0A317DC5" w:rsidR="008334E0" w:rsidRDefault="007C19B7" w:rsidP="007C19B7">
                    <w:pPr>
                      <w:pStyle w:val="Header"/>
                      <w:tabs>
                        <w:tab w:val="left" w:pos="720"/>
                      </w:tabs>
                      <w:rPr>
                        <w:caps/>
                        <w:color w:val="FFFFFF" w:themeColor="background1"/>
                      </w:rPr>
                    </w:pPr>
                    <w:r>
                      <w:rPr>
                        <w:rFonts w:ascii="Arial" w:hAnsi="Arial"/>
                        <w:sz w:val="28"/>
                        <w:szCs w:val="28"/>
                      </w:rPr>
                      <w:t>CPSC 3710 Systems Analysis</w:t>
                    </w:r>
                    <w:r>
                      <w:rPr>
                        <w:rFonts w:ascii="Arial" w:hAnsi="Arial"/>
                        <w:sz w:val="28"/>
                        <w:szCs w:val="28"/>
                      </w:rPr>
                      <w:tab/>
                    </w:r>
                    <w:r>
                      <w:rPr>
                        <w:rFonts w:ascii="Arial" w:hAnsi="Arial"/>
                        <w:sz w:val="28"/>
                        <w:szCs w:val="28"/>
                      </w:rPr>
                      <w:tab/>
                      <w:t xml:space="preserve">                                                    Case Study - 5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7B32" w14:textId="77777777" w:rsidR="007C19B7" w:rsidRDefault="007C19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43D3D"/>
    <w:multiLevelType w:val="hybridMultilevel"/>
    <w:tmpl w:val="A3CEA6CA"/>
    <w:lvl w:ilvl="0" w:tplc="4B2423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97368D"/>
    <w:multiLevelType w:val="hybridMultilevel"/>
    <w:tmpl w:val="76ECC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E465F"/>
    <w:multiLevelType w:val="hybridMultilevel"/>
    <w:tmpl w:val="1026C89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198F34FA"/>
    <w:multiLevelType w:val="hybridMultilevel"/>
    <w:tmpl w:val="8D823C40"/>
    <w:lvl w:ilvl="0" w:tplc="3686FF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B34D6"/>
    <w:multiLevelType w:val="hybridMultilevel"/>
    <w:tmpl w:val="3FECD30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41718"/>
    <w:multiLevelType w:val="hybridMultilevel"/>
    <w:tmpl w:val="DC82F0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A5F4A"/>
    <w:multiLevelType w:val="hybridMultilevel"/>
    <w:tmpl w:val="DA8CD07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22325F"/>
    <w:multiLevelType w:val="hybridMultilevel"/>
    <w:tmpl w:val="512EA18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3B8F281C"/>
    <w:multiLevelType w:val="hybridMultilevel"/>
    <w:tmpl w:val="1D8844DE"/>
    <w:lvl w:ilvl="0" w:tplc="15D601EA">
      <w:start w:val="1"/>
      <w:numFmt w:val="decimal"/>
      <w:lvlText w:val="%1."/>
      <w:lvlJc w:val="right"/>
      <w:pPr>
        <w:tabs>
          <w:tab w:val="num" w:pos="547"/>
        </w:tabs>
        <w:ind w:left="547" w:hanging="187"/>
      </w:pPr>
      <w:rPr>
        <w:rFonts w:hint="default"/>
        <w:i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BF56BF"/>
    <w:multiLevelType w:val="hybridMultilevel"/>
    <w:tmpl w:val="B6DC9C1A"/>
    <w:lvl w:ilvl="0" w:tplc="C5C6F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8C4A4D"/>
    <w:multiLevelType w:val="hybridMultilevel"/>
    <w:tmpl w:val="60120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97C43"/>
    <w:multiLevelType w:val="hybridMultilevel"/>
    <w:tmpl w:val="F848700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4CD13306"/>
    <w:multiLevelType w:val="hybridMultilevel"/>
    <w:tmpl w:val="72F6C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23E82"/>
    <w:multiLevelType w:val="hybridMultilevel"/>
    <w:tmpl w:val="5D7CFB0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B64383E"/>
    <w:multiLevelType w:val="hybridMultilevel"/>
    <w:tmpl w:val="14D6A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C4011"/>
    <w:multiLevelType w:val="hybridMultilevel"/>
    <w:tmpl w:val="76ECC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65892"/>
    <w:multiLevelType w:val="hybridMultilevel"/>
    <w:tmpl w:val="BB7AD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C65209"/>
    <w:multiLevelType w:val="hybridMultilevel"/>
    <w:tmpl w:val="E396B6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032245">
    <w:abstractNumId w:val="13"/>
  </w:num>
  <w:num w:numId="2" w16cid:durableId="1010763378">
    <w:abstractNumId w:val="5"/>
  </w:num>
  <w:num w:numId="3" w16cid:durableId="122189370">
    <w:abstractNumId w:val="4"/>
  </w:num>
  <w:num w:numId="4" w16cid:durableId="2014645451">
    <w:abstractNumId w:val="14"/>
  </w:num>
  <w:num w:numId="5" w16cid:durableId="1065447351">
    <w:abstractNumId w:val="17"/>
  </w:num>
  <w:num w:numId="6" w16cid:durableId="554465579">
    <w:abstractNumId w:val="10"/>
  </w:num>
  <w:num w:numId="7" w16cid:durableId="720175156">
    <w:abstractNumId w:val="9"/>
  </w:num>
  <w:num w:numId="8" w16cid:durableId="1784231203">
    <w:abstractNumId w:val="8"/>
  </w:num>
  <w:num w:numId="9" w16cid:durableId="271322296">
    <w:abstractNumId w:val="11"/>
  </w:num>
  <w:num w:numId="10" w16cid:durableId="1462113510">
    <w:abstractNumId w:val="0"/>
  </w:num>
  <w:num w:numId="11" w16cid:durableId="1667829999">
    <w:abstractNumId w:val="15"/>
  </w:num>
  <w:num w:numId="12" w16cid:durableId="630287803">
    <w:abstractNumId w:val="6"/>
  </w:num>
  <w:num w:numId="13" w16cid:durableId="1936867290">
    <w:abstractNumId w:val="7"/>
  </w:num>
  <w:num w:numId="14" w16cid:durableId="1740011297">
    <w:abstractNumId w:val="2"/>
  </w:num>
  <w:num w:numId="15" w16cid:durableId="1347364033">
    <w:abstractNumId w:val="1"/>
  </w:num>
  <w:num w:numId="16" w16cid:durableId="1494419621">
    <w:abstractNumId w:val="16"/>
  </w:num>
  <w:num w:numId="17" w16cid:durableId="168255210">
    <w:abstractNumId w:val="12"/>
  </w:num>
  <w:num w:numId="18" w16cid:durableId="87427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4E0"/>
    <w:rsid w:val="000442E9"/>
    <w:rsid w:val="00045630"/>
    <w:rsid w:val="00047BAE"/>
    <w:rsid w:val="00062F27"/>
    <w:rsid w:val="00074FF9"/>
    <w:rsid w:val="00080A8E"/>
    <w:rsid w:val="000E688D"/>
    <w:rsid w:val="00121907"/>
    <w:rsid w:val="00126276"/>
    <w:rsid w:val="00126B5F"/>
    <w:rsid w:val="00156696"/>
    <w:rsid w:val="00170A7D"/>
    <w:rsid w:val="0017256C"/>
    <w:rsid w:val="001E4E3B"/>
    <w:rsid w:val="00200F6C"/>
    <w:rsid w:val="002113A2"/>
    <w:rsid w:val="00247880"/>
    <w:rsid w:val="00250BB2"/>
    <w:rsid w:val="0027712E"/>
    <w:rsid w:val="002933AA"/>
    <w:rsid w:val="002A41FF"/>
    <w:rsid w:val="002B75AC"/>
    <w:rsid w:val="002F5F7E"/>
    <w:rsid w:val="00301D02"/>
    <w:rsid w:val="00321D56"/>
    <w:rsid w:val="0034135E"/>
    <w:rsid w:val="003B13A8"/>
    <w:rsid w:val="003B3F81"/>
    <w:rsid w:val="003C7277"/>
    <w:rsid w:val="003E1421"/>
    <w:rsid w:val="003F04BE"/>
    <w:rsid w:val="004054ED"/>
    <w:rsid w:val="004260B9"/>
    <w:rsid w:val="00437CE7"/>
    <w:rsid w:val="00502CD6"/>
    <w:rsid w:val="00562552"/>
    <w:rsid w:val="00567CCA"/>
    <w:rsid w:val="00573021"/>
    <w:rsid w:val="005E51AB"/>
    <w:rsid w:val="005F7057"/>
    <w:rsid w:val="00602A62"/>
    <w:rsid w:val="00674904"/>
    <w:rsid w:val="00677FF9"/>
    <w:rsid w:val="0073750A"/>
    <w:rsid w:val="007736D8"/>
    <w:rsid w:val="0078767B"/>
    <w:rsid w:val="00796C49"/>
    <w:rsid w:val="007A24A1"/>
    <w:rsid w:val="007C19B7"/>
    <w:rsid w:val="007C4858"/>
    <w:rsid w:val="007F590B"/>
    <w:rsid w:val="008109B7"/>
    <w:rsid w:val="008248FB"/>
    <w:rsid w:val="008334E0"/>
    <w:rsid w:val="00861DF1"/>
    <w:rsid w:val="008844C1"/>
    <w:rsid w:val="008A28F4"/>
    <w:rsid w:val="009320D3"/>
    <w:rsid w:val="00945CF9"/>
    <w:rsid w:val="00963BD9"/>
    <w:rsid w:val="009776B8"/>
    <w:rsid w:val="00993ABE"/>
    <w:rsid w:val="00997530"/>
    <w:rsid w:val="009B12D2"/>
    <w:rsid w:val="009D1FFF"/>
    <w:rsid w:val="00A206CB"/>
    <w:rsid w:val="00A3629B"/>
    <w:rsid w:val="00A36F05"/>
    <w:rsid w:val="00A40BF9"/>
    <w:rsid w:val="00A4626E"/>
    <w:rsid w:val="00AE75DE"/>
    <w:rsid w:val="00B120A9"/>
    <w:rsid w:val="00B12ADC"/>
    <w:rsid w:val="00B136FB"/>
    <w:rsid w:val="00B1373E"/>
    <w:rsid w:val="00B219CB"/>
    <w:rsid w:val="00B718D1"/>
    <w:rsid w:val="00B92277"/>
    <w:rsid w:val="00BB46CB"/>
    <w:rsid w:val="00BE1471"/>
    <w:rsid w:val="00BE4A86"/>
    <w:rsid w:val="00C70FCB"/>
    <w:rsid w:val="00C73B1F"/>
    <w:rsid w:val="00C77606"/>
    <w:rsid w:val="00CB5031"/>
    <w:rsid w:val="00D02DC7"/>
    <w:rsid w:val="00D14D7A"/>
    <w:rsid w:val="00D469C7"/>
    <w:rsid w:val="00D51D8C"/>
    <w:rsid w:val="00D558CC"/>
    <w:rsid w:val="00DB15CF"/>
    <w:rsid w:val="00DD1C4F"/>
    <w:rsid w:val="00DE581C"/>
    <w:rsid w:val="00DF06AC"/>
    <w:rsid w:val="00DF6B43"/>
    <w:rsid w:val="00E27B8A"/>
    <w:rsid w:val="00E8268D"/>
    <w:rsid w:val="00E9018F"/>
    <w:rsid w:val="00EA075D"/>
    <w:rsid w:val="00F379C3"/>
    <w:rsid w:val="00F634B3"/>
    <w:rsid w:val="00F77700"/>
    <w:rsid w:val="00F94188"/>
    <w:rsid w:val="00FA0E76"/>
    <w:rsid w:val="00FF211D"/>
    <w:rsid w:val="00FF37C7"/>
    <w:rsid w:val="00FF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3E08F"/>
  <w15:chartTrackingRefBased/>
  <w15:docId w15:val="{1671FA3C-BF7D-429A-81A1-CFA09EC7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34E0"/>
  </w:style>
  <w:style w:type="paragraph" w:styleId="Footer">
    <w:name w:val="footer"/>
    <w:basedOn w:val="Normal"/>
    <w:link w:val="FooterChar"/>
    <w:uiPriority w:val="99"/>
    <w:unhideWhenUsed/>
    <w:rsid w:val="00833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34E0"/>
  </w:style>
  <w:style w:type="paragraph" w:styleId="ListParagraph">
    <w:name w:val="List Paragraph"/>
    <w:basedOn w:val="Normal"/>
    <w:uiPriority w:val="34"/>
    <w:qFormat/>
    <w:rsid w:val="00963BD9"/>
    <w:pPr>
      <w:ind w:left="720"/>
      <w:contextualSpacing/>
    </w:pPr>
  </w:style>
  <w:style w:type="paragraph" w:styleId="PlainText">
    <w:name w:val="Plain Text"/>
    <w:basedOn w:val="Normal"/>
    <w:link w:val="PlainTextChar"/>
    <w:rsid w:val="007C485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C4858"/>
    <w:rPr>
      <w:rFonts w:ascii="Courier New" w:eastAsia="Times New Roman" w:hAnsi="Courier New" w:cs="Times New Roman"/>
      <w:sz w:val="20"/>
      <w:szCs w:val="20"/>
    </w:rPr>
  </w:style>
  <w:style w:type="paragraph" w:customStyle="1" w:styleId="NormalItalic">
    <w:name w:val="NormalItalic"/>
    <w:basedOn w:val="Normal"/>
    <w:rsid w:val="007C4858"/>
    <w:pPr>
      <w:widowControl w:val="0"/>
      <w:tabs>
        <w:tab w:val="decimal" w:pos="240"/>
        <w:tab w:val="left" w:pos="480"/>
        <w:tab w:val="left" w:pos="840"/>
      </w:tabs>
      <w:spacing w:after="180" w:line="260" w:lineRule="atLeast"/>
    </w:pPr>
    <w:rPr>
      <w:rFonts w:ascii="Palatino" w:eastAsia="Times New Roman" w:hAnsi="Palatino" w:cs="Times New Roman"/>
      <w:i/>
      <w:sz w:val="21"/>
      <w:szCs w:val="20"/>
    </w:rPr>
  </w:style>
  <w:style w:type="paragraph" w:customStyle="1" w:styleId="Body">
    <w:name w:val="Body"/>
    <w:basedOn w:val="Normal"/>
    <w:rsid w:val="00993ABE"/>
    <w:pPr>
      <w:overflowPunct w:val="0"/>
      <w:autoSpaceDE w:val="0"/>
      <w:autoSpaceDN w:val="0"/>
      <w:adjustRightInd w:val="0"/>
      <w:spacing w:after="0" w:line="260" w:lineRule="exact"/>
      <w:ind w:firstLine="180"/>
      <w:textAlignment w:val="baseline"/>
    </w:pPr>
    <w:rPr>
      <w:rFonts w:ascii="AGaramond" w:eastAsia="Times New Roman" w:hAnsi="AGaramond" w:cs="Times New Roman"/>
      <w:szCs w:val="20"/>
    </w:rPr>
  </w:style>
  <w:style w:type="table" w:styleId="TableGrid">
    <w:name w:val="Table Grid"/>
    <w:basedOn w:val="TableNormal"/>
    <w:uiPriority w:val="39"/>
    <w:rsid w:val="003B3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3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ITP252 GUI Development</vt:lpstr>
    </vt:vector>
  </TitlesOfParts>
  <Company>Pittsburgh Technical Institute</Company>
  <LinksUpToDate>false</LinksUpToDate>
  <CharactersWithSpaces>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ITP252 GUI Development</dc:title>
  <dc:subject/>
  <dc:creator>Tomeo, Mel</dc:creator>
  <cp:keywords/>
  <dc:description/>
  <cp:lastModifiedBy>Owen Patrick Sullivan</cp:lastModifiedBy>
  <cp:revision>9</cp:revision>
  <cp:lastPrinted>2024-01-16T15:50:00Z</cp:lastPrinted>
  <dcterms:created xsi:type="dcterms:W3CDTF">2019-02-15T13:26:00Z</dcterms:created>
  <dcterms:modified xsi:type="dcterms:W3CDTF">2024-02-23T03:49:00Z</dcterms:modified>
</cp:coreProperties>
</file>