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71279" w14:textId="3A1C10B4" w:rsidR="003D387A" w:rsidRPr="003F04BE" w:rsidRDefault="003D387A" w:rsidP="003D387A">
      <w:pPr>
        <w:jc w:val="center"/>
        <w:rPr>
          <w:b/>
          <w:sz w:val="32"/>
        </w:rPr>
      </w:pPr>
      <w:r>
        <w:rPr>
          <w:b/>
          <w:sz w:val="32"/>
        </w:rPr>
        <w:t>Case Study – 7</w:t>
      </w:r>
      <w:r w:rsidR="00F113FA">
        <w:rPr>
          <w:b/>
          <w:sz w:val="32"/>
        </w:rPr>
        <w:br/>
        <w:t>(</w:t>
      </w:r>
      <w:r w:rsidR="002E1182">
        <w:rPr>
          <w:b/>
          <w:sz w:val="32"/>
        </w:rPr>
        <w:t>30</w:t>
      </w:r>
      <w:r w:rsidR="00F113FA">
        <w:rPr>
          <w:b/>
          <w:sz w:val="32"/>
        </w:rPr>
        <w:t xml:space="preserve"> points)</w:t>
      </w:r>
    </w:p>
    <w:p w14:paraId="1E2A528B" w14:textId="2167ACD3" w:rsidR="009C59B9" w:rsidRPr="00A86DDA" w:rsidRDefault="009C59B9" w:rsidP="009C59B9">
      <w:pPr>
        <w:tabs>
          <w:tab w:val="left" w:pos="1260"/>
        </w:tabs>
        <w:spacing w:after="0"/>
        <w:ind w:left="1260" w:right="-270" w:hanging="1260"/>
        <w:rPr>
          <w:bCs/>
          <w:color w:val="FF0000"/>
          <w:sz w:val="24"/>
        </w:rPr>
      </w:pPr>
      <w:r w:rsidRPr="00FB04EC">
        <w:rPr>
          <w:b/>
          <w:sz w:val="24"/>
        </w:rPr>
        <w:t xml:space="preserve">Name: </w:t>
      </w:r>
      <w:r w:rsidR="00A86DDA">
        <w:rPr>
          <w:bCs/>
          <w:color w:val="FF0000"/>
          <w:sz w:val="24"/>
        </w:rPr>
        <w:t>Owen Sullivan</w:t>
      </w:r>
    </w:p>
    <w:p w14:paraId="58AD581D" w14:textId="1413799B" w:rsidR="009C59B9" w:rsidRPr="00A86DDA" w:rsidRDefault="009C59B9" w:rsidP="009C59B9">
      <w:pPr>
        <w:tabs>
          <w:tab w:val="left" w:pos="1260"/>
        </w:tabs>
        <w:spacing w:after="0"/>
        <w:ind w:left="1260" w:right="-270" w:hanging="1260"/>
        <w:rPr>
          <w:bCs/>
          <w:color w:val="FF0000"/>
          <w:sz w:val="24"/>
        </w:rPr>
      </w:pPr>
      <w:r w:rsidRPr="00FB04EC">
        <w:rPr>
          <w:b/>
          <w:sz w:val="24"/>
        </w:rPr>
        <w:t xml:space="preserve">Clemson ID: </w:t>
      </w:r>
      <w:r w:rsidR="00A86DDA">
        <w:rPr>
          <w:bCs/>
          <w:color w:val="FF0000"/>
          <w:sz w:val="24"/>
        </w:rPr>
        <w:t>C34243277</w:t>
      </w:r>
    </w:p>
    <w:p w14:paraId="7231510B" w14:textId="0D1A4487" w:rsidR="000C746A" w:rsidRDefault="009C59B9" w:rsidP="009C59B9">
      <w:pPr>
        <w:tabs>
          <w:tab w:val="left" w:pos="1260"/>
        </w:tabs>
        <w:spacing w:after="0"/>
        <w:ind w:left="1260" w:right="-270" w:hanging="1260"/>
        <w:rPr>
          <w:sz w:val="24"/>
        </w:rPr>
      </w:pPr>
      <w:r w:rsidRPr="00FB04EC">
        <w:rPr>
          <w:b/>
          <w:sz w:val="24"/>
        </w:rPr>
        <w:t>Submission</w:t>
      </w:r>
      <w:r w:rsidRPr="00FB04EC">
        <w:rPr>
          <w:sz w:val="24"/>
        </w:rPr>
        <w:t>:</w:t>
      </w:r>
      <w:r>
        <w:rPr>
          <w:sz w:val="24"/>
        </w:rPr>
        <w:t xml:space="preserve"> </w:t>
      </w:r>
      <w:r w:rsidR="000C746A">
        <w:rPr>
          <w:sz w:val="24"/>
        </w:rPr>
        <w:t xml:space="preserve"> Save this Word document with your answers as a PDF file and upload the PDF file to Canvas. </w:t>
      </w:r>
    </w:p>
    <w:p w14:paraId="023E94B6" w14:textId="77777777" w:rsidR="003D387A" w:rsidRDefault="003D387A" w:rsidP="003D387A"/>
    <w:p w14:paraId="7CCDCB6F" w14:textId="7CE4E648" w:rsidR="0070021B" w:rsidRDefault="001F221F" w:rsidP="0070021B">
      <w:r>
        <w:t>(1</w:t>
      </w:r>
      <w:r w:rsidR="00EE5CC6">
        <w:t>5</w:t>
      </w:r>
      <w:r>
        <w:t xml:space="preserve"> pts) The EVCSS Project needs </w:t>
      </w:r>
      <w:r w:rsidR="003F676A">
        <w:t xml:space="preserve">at least </w:t>
      </w:r>
      <w:r>
        <w:t xml:space="preserve">a mobile application for tenants </w:t>
      </w:r>
      <w:r w:rsidR="003F676A">
        <w:t xml:space="preserve">and </w:t>
      </w:r>
      <w:r w:rsidR="00A509F3">
        <w:t xml:space="preserve">a </w:t>
      </w:r>
      <w:r>
        <w:t>desktop application for apartment staff</w:t>
      </w:r>
      <w:r w:rsidR="003F676A">
        <w:t>; as well as support systems to interface to the chargers and the electric power grid</w:t>
      </w:r>
      <w:r>
        <w:t>.</w:t>
      </w:r>
      <w:r w:rsidR="003F676A">
        <w:t xml:space="preserve">  </w:t>
      </w:r>
      <w:r>
        <w:t xml:space="preserve">  </w:t>
      </w:r>
      <w:r w:rsidR="003F676A">
        <w:t xml:space="preserve">We may not have the staff to complete this project. </w:t>
      </w:r>
      <w:r>
        <w:t>Before you start development</w:t>
      </w:r>
      <w:r w:rsidR="003F676A">
        <w:t xml:space="preserve">, select one </w:t>
      </w:r>
      <w:proofErr w:type="gramStart"/>
      <w:r w:rsidR="003F676A">
        <w:t>subsystem</w:t>
      </w:r>
      <w:proofErr w:type="gramEnd"/>
      <w:r w:rsidR="003F676A">
        <w:t xml:space="preserve"> and </w:t>
      </w:r>
      <w:r>
        <w:t xml:space="preserve">perform a build vs. buy vs. outsource analysis </w:t>
      </w:r>
      <w:r w:rsidR="00EE5CC6">
        <w:t>similar to Fig 7-4</w:t>
      </w:r>
      <w:r>
        <w:t>.</w:t>
      </w:r>
    </w:p>
    <w:tbl>
      <w:tblPr>
        <w:tblStyle w:val="TableGrid"/>
        <w:tblW w:w="9577" w:type="dxa"/>
        <w:tblInd w:w="-5" w:type="dxa"/>
        <w:tblLook w:val="04A0" w:firstRow="1" w:lastRow="0" w:firstColumn="1" w:lastColumn="0" w:noHBand="0" w:noVBand="1"/>
      </w:tblPr>
      <w:tblGrid>
        <w:gridCol w:w="3190"/>
        <w:gridCol w:w="3192"/>
        <w:gridCol w:w="3195"/>
      </w:tblGrid>
      <w:tr w:rsidR="005B413D" w14:paraId="32CB2DA2" w14:textId="77777777" w:rsidTr="005B413D">
        <w:trPr>
          <w:trHeight w:val="290"/>
        </w:trPr>
        <w:tc>
          <w:tcPr>
            <w:tcW w:w="9577" w:type="dxa"/>
            <w:gridSpan w:val="3"/>
            <w:shd w:val="clear" w:color="auto" w:fill="D0CECE" w:themeFill="background2" w:themeFillShade="E6"/>
          </w:tcPr>
          <w:p w14:paraId="28648190" w14:textId="478E1895" w:rsidR="005B413D" w:rsidRPr="005B413D" w:rsidRDefault="005B413D" w:rsidP="005B413D">
            <w:pPr>
              <w:jc w:val="center"/>
              <w:rPr>
                <w:b/>
                <w:bCs/>
                <w:color w:val="FF0000"/>
              </w:rPr>
            </w:pPr>
            <w:r>
              <w:rPr>
                <w:b/>
                <w:bCs/>
                <w:color w:val="FF0000"/>
              </w:rPr>
              <w:t>Power Grid Interface Subsystem</w:t>
            </w:r>
          </w:p>
        </w:tc>
      </w:tr>
      <w:tr w:rsidR="005B413D" w14:paraId="505DE327" w14:textId="77777777" w:rsidTr="005B413D">
        <w:trPr>
          <w:trHeight w:val="290"/>
        </w:trPr>
        <w:tc>
          <w:tcPr>
            <w:tcW w:w="3190" w:type="dxa"/>
            <w:shd w:val="clear" w:color="auto" w:fill="E7E6E6" w:themeFill="background2"/>
          </w:tcPr>
          <w:p w14:paraId="37A25BCC" w14:textId="5A160AC6" w:rsidR="005B413D" w:rsidRPr="005B413D" w:rsidRDefault="005B413D" w:rsidP="005B413D">
            <w:pPr>
              <w:jc w:val="center"/>
              <w:rPr>
                <w:b/>
                <w:bCs/>
                <w:color w:val="FF0000"/>
              </w:rPr>
            </w:pPr>
            <w:r>
              <w:rPr>
                <w:b/>
                <w:bCs/>
                <w:color w:val="FF0000"/>
              </w:rPr>
              <w:t>Reasons for In-House Development</w:t>
            </w:r>
          </w:p>
        </w:tc>
        <w:tc>
          <w:tcPr>
            <w:tcW w:w="3192" w:type="dxa"/>
            <w:shd w:val="clear" w:color="auto" w:fill="E7E6E6" w:themeFill="background2"/>
          </w:tcPr>
          <w:p w14:paraId="6AA86092" w14:textId="1D488F66" w:rsidR="005B413D" w:rsidRPr="005B413D" w:rsidRDefault="005B413D" w:rsidP="005B413D">
            <w:pPr>
              <w:jc w:val="center"/>
              <w:rPr>
                <w:b/>
                <w:bCs/>
                <w:color w:val="FF0000"/>
              </w:rPr>
            </w:pPr>
            <w:r>
              <w:rPr>
                <w:b/>
                <w:bCs/>
                <w:color w:val="FF0000"/>
              </w:rPr>
              <w:t>Reasons for Outsourced Development</w:t>
            </w:r>
          </w:p>
        </w:tc>
        <w:tc>
          <w:tcPr>
            <w:tcW w:w="3194" w:type="dxa"/>
            <w:shd w:val="clear" w:color="auto" w:fill="E7E6E6" w:themeFill="background2"/>
          </w:tcPr>
          <w:p w14:paraId="588DBB79" w14:textId="299B6F7F" w:rsidR="005B413D" w:rsidRPr="005B413D" w:rsidRDefault="005B413D" w:rsidP="005B413D">
            <w:pPr>
              <w:jc w:val="center"/>
              <w:rPr>
                <w:b/>
                <w:bCs/>
                <w:color w:val="FF0000"/>
              </w:rPr>
            </w:pPr>
            <w:r>
              <w:rPr>
                <w:b/>
                <w:bCs/>
                <w:color w:val="FF0000"/>
              </w:rPr>
              <w:t>Reasons for Purchasing an Existing System</w:t>
            </w:r>
          </w:p>
        </w:tc>
      </w:tr>
      <w:tr w:rsidR="005B413D" w14:paraId="41E3439C" w14:textId="77777777" w:rsidTr="005B413D">
        <w:trPr>
          <w:trHeight w:val="290"/>
        </w:trPr>
        <w:tc>
          <w:tcPr>
            <w:tcW w:w="3190" w:type="dxa"/>
          </w:tcPr>
          <w:p w14:paraId="3CE032F9" w14:textId="0D4F4157" w:rsidR="005B413D" w:rsidRPr="005B413D" w:rsidRDefault="005B413D" w:rsidP="00E26323">
            <w:pPr>
              <w:rPr>
                <w:color w:val="FF0000"/>
              </w:rPr>
            </w:pPr>
            <w:r>
              <w:rPr>
                <w:color w:val="FF0000"/>
              </w:rPr>
              <w:t>Greater control over interface will allow for quicker maintenance down the line</w:t>
            </w:r>
          </w:p>
        </w:tc>
        <w:tc>
          <w:tcPr>
            <w:tcW w:w="3192" w:type="dxa"/>
          </w:tcPr>
          <w:p w14:paraId="00105234" w14:textId="018226A3" w:rsidR="005B413D" w:rsidRPr="005B413D" w:rsidRDefault="005B413D" w:rsidP="00E26323">
            <w:pPr>
              <w:rPr>
                <w:color w:val="FF0000"/>
              </w:rPr>
            </w:pPr>
            <w:r>
              <w:rPr>
                <w:color w:val="FF0000"/>
              </w:rPr>
              <w:t>Maintenance of the interface can be offloaded, leaving more time for the in-house team to work on issues that may arise with other parts of the EVCSS</w:t>
            </w:r>
          </w:p>
        </w:tc>
        <w:tc>
          <w:tcPr>
            <w:tcW w:w="3194" w:type="dxa"/>
          </w:tcPr>
          <w:p w14:paraId="0D2E3CE8" w14:textId="7D820405" w:rsidR="005B413D" w:rsidRPr="005B413D" w:rsidRDefault="005B413D" w:rsidP="00E26323">
            <w:pPr>
              <w:rPr>
                <w:color w:val="FF0000"/>
              </w:rPr>
            </w:pPr>
            <w:r>
              <w:rPr>
                <w:color w:val="FF0000"/>
              </w:rPr>
              <w:t xml:space="preserve">Maintenance of the interface will be handled </w:t>
            </w:r>
            <w:r w:rsidR="006D21DB">
              <w:rPr>
                <w:color w:val="FF0000"/>
              </w:rPr>
              <w:t>by a completely external team that can implement fixes for issues that arise in other deployments (which may not make themselves immediately known in the EVCSS’ deployment)</w:t>
            </w:r>
          </w:p>
        </w:tc>
      </w:tr>
      <w:tr w:rsidR="005B413D" w14:paraId="34A27DD3" w14:textId="77777777" w:rsidTr="005B413D">
        <w:trPr>
          <w:trHeight w:val="290"/>
        </w:trPr>
        <w:tc>
          <w:tcPr>
            <w:tcW w:w="3190" w:type="dxa"/>
          </w:tcPr>
          <w:p w14:paraId="46A58910" w14:textId="4735A60E" w:rsidR="005B413D" w:rsidRPr="005B413D" w:rsidRDefault="005B413D" w:rsidP="00E26323">
            <w:pPr>
              <w:rPr>
                <w:color w:val="FF0000"/>
              </w:rPr>
            </w:pPr>
            <w:r>
              <w:rPr>
                <w:color w:val="FF0000"/>
              </w:rPr>
              <w:t>Existing development team will gain a better understanding of how charging stations interact with individual power grids</w:t>
            </w:r>
          </w:p>
        </w:tc>
        <w:tc>
          <w:tcPr>
            <w:tcW w:w="3192" w:type="dxa"/>
          </w:tcPr>
          <w:p w14:paraId="578806D3" w14:textId="471EB4E9" w:rsidR="005B413D" w:rsidRDefault="005B413D" w:rsidP="00E26323">
            <w:r>
              <w:rPr>
                <w:color w:val="FF0000"/>
              </w:rPr>
              <w:t>A local development team may already have experience with local power grids’ systems (which this subsystem will have to interface with)</w:t>
            </w:r>
          </w:p>
        </w:tc>
        <w:tc>
          <w:tcPr>
            <w:tcW w:w="3194" w:type="dxa"/>
          </w:tcPr>
          <w:p w14:paraId="187AA898" w14:textId="305F8891" w:rsidR="005B413D" w:rsidRPr="005B413D" w:rsidRDefault="005B413D" w:rsidP="00E26323">
            <w:pPr>
              <w:rPr>
                <w:color w:val="FF0000"/>
              </w:rPr>
            </w:pPr>
            <w:r>
              <w:rPr>
                <w:color w:val="FF0000"/>
              </w:rPr>
              <w:t>An existing system may be more robust and have finer control over interface functions that a new development team would not know about immediately</w:t>
            </w:r>
          </w:p>
        </w:tc>
      </w:tr>
      <w:tr w:rsidR="005B413D" w14:paraId="2BFFF109" w14:textId="77777777" w:rsidTr="005B413D">
        <w:trPr>
          <w:trHeight w:val="274"/>
        </w:trPr>
        <w:tc>
          <w:tcPr>
            <w:tcW w:w="3190" w:type="dxa"/>
          </w:tcPr>
          <w:p w14:paraId="58C1E0BE" w14:textId="04C48E82" w:rsidR="005B413D" w:rsidRPr="006D21DB" w:rsidRDefault="006D21DB" w:rsidP="00E26323">
            <w:pPr>
              <w:rPr>
                <w:color w:val="FF0000"/>
              </w:rPr>
            </w:pPr>
            <w:r>
              <w:rPr>
                <w:color w:val="FF0000"/>
              </w:rPr>
              <w:t>If the interface is relatively easy to implement, it may be more cost-effective to develop in-house</w:t>
            </w:r>
          </w:p>
        </w:tc>
        <w:tc>
          <w:tcPr>
            <w:tcW w:w="3192" w:type="dxa"/>
          </w:tcPr>
          <w:p w14:paraId="20D7B1BE" w14:textId="05FFCD31" w:rsidR="005B413D" w:rsidRPr="006D21DB" w:rsidRDefault="006D21DB" w:rsidP="00E26323">
            <w:pPr>
              <w:rPr>
                <w:color w:val="FF0000"/>
              </w:rPr>
            </w:pPr>
            <w:r>
              <w:rPr>
                <w:color w:val="FF0000"/>
              </w:rPr>
              <w:t>If the interface is relatively complicated to implement, it may be more cost-effective to outsource development so that the in-house team can focus on other aspects of the EVCSS</w:t>
            </w:r>
          </w:p>
        </w:tc>
        <w:tc>
          <w:tcPr>
            <w:tcW w:w="3194" w:type="dxa"/>
          </w:tcPr>
          <w:p w14:paraId="0DCA7BE6" w14:textId="1476117C" w:rsidR="005B413D" w:rsidRPr="006D21DB" w:rsidRDefault="006D21DB" w:rsidP="00E26323">
            <w:pPr>
              <w:rPr>
                <w:color w:val="FF0000"/>
              </w:rPr>
            </w:pPr>
            <w:r>
              <w:rPr>
                <w:color w:val="FF0000"/>
              </w:rPr>
              <w:t>The overall cost of implementing an existing system may be lower than any path involving new development</w:t>
            </w:r>
          </w:p>
        </w:tc>
      </w:tr>
      <w:tr w:rsidR="005B413D" w14:paraId="74D0CD82" w14:textId="77777777" w:rsidTr="005B413D">
        <w:trPr>
          <w:trHeight w:val="290"/>
        </w:trPr>
        <w:tc>
          <w:tcPr>
            <w:tcW w:w="3190" w:type="dxa"/>
          </w:tcPr>
          <w:p w14:paraId="14CEAEE1" w14:textId="41EC1892" w:rsidR="005B413D" w:rsidRPr="006D21DB" w:rsidRDefault="006D21DB" w:rsidP="00E26323">
            <w:pPr>
              <w:rPr>
                <w:color w:val="FF0000"/>
              </w:rPr>
            </w:pPr>
            <w:r>
              <w:rPr>
                <w:color w:val="FF0000"/>
              </w:rPr>
              <w:t>The system can be tailored more specifically to each power grid with which it will need to interface</w:t>
            </w:r>
          </w:p>
        </w:tc>
        <w:tc>
          <w:tcPr>
            <w:tcW w:w="3192" w:type="dxa"/>
          </w:tcPr>
          <w:p w14:paraId="5817A196" w14:textId="2D2D35DC" w:rsidR="005B413D" w:rsidRPr="006D21DB" w:rsidRDefault="006D21DB" w:rsidP="00E26323">
            <w:pPr>
              <w:rPr>
                <w:color w:val="FF0000"/>
              </w:rPr>
            </w:pPr>
            <w:r>
              <w:rPr>
                <w:color w:val="FF0000"/>
              </w:rPr>
              <w:t>An outsourced team may be more effective at identifying interface requirements without other parts of the EVCSS to worry about</w:t>
            </w:r>
          </w:p>
        </w:tc>
        <w:tc>
          <w:tcPr>
            <w:tcW w:w="3194" w:type="dxa"/>
          </w:tcPr>
          <w:p w14:paraId="1D9EEC02" w14:textId="2183587D" w:rsidR="005B413D" w:rsidRPr="006D21DB" w:rsidRDefault="006D21DB" w:rsidP="00E26323">
            <w:pPr>
              <w:rPr>
                <w:color w:val="FF0000"/>
              </w:rPr>
            </w:pPr>
            <w:r>
              <w:rPr>
                <w:color w:val="FF0000"/>
              </w:rPr>
              <w:t>An existing system that is routinely updated by an external vendor will likely support new electrical grid features and constraints more quickly</w:t>
            </w:r>
          </w:p>
        </w:tc>
      </w:tr>
      <w:tr w:rsidR="005B413D" w14:paraId="645FA147" w14:textId="77777777" w:rsidTr="005B413D">
        <w:trPr>
          <w:trHeight w:val="290"/>
        </w:trPr>
        <w:tc>
          <w:tcPr>
            <w:tcW w:w="3190" w:type="dxa"/>
          </w:tcPr>
          <w:p w14:paraId="0968EAB1" w14:textId="14ADC64F" w:rsidR="005B413D" w:rsidRPr="006D21DB" w:rsidRDefault="006D21DB" w:rsidP="00E26323">
            <w:pPr>
              <w:rPr>
                <w:color w:val="FF0000"/>
              </w:rPr>
            </w:pPr>
            <w:r>
              <w:rPr>
                <w:color w:val="FF0000"/>
              </w:rPr>
              <w:t>Smaller issues that arise with the system may be more cost-effective to fix in-house, as opposed to paying a standard rate for an external team</w:t>
            </w:r>
          </w:p>
        </w:tc>
        <w:tc>
          <w:tcPr>
            <w:tcW w:w="3192" w:type="dxa"/>
          </w:tcPr>
          <w:p w14:paraId="19004286" w14:textId="06699396" w:rsidR="005B413D" w:rsidRPr="006D21DB" w:rsidRDefault="006D21DB" w:rsidP="00E26323">
            <w:pPr>
              <w:rPr>
                <w:color w:val="FF0000"/>
              </w:rPr>
            </w:pPr>
            <w:r>
              <w:rPr>
                <w:color w:val="FF0000"/>
              </w:rPr>
              <w:t>A contract with an outsourced team could be negotiated to include favorable fee structures for maintenance of all types, big and small</w:t>
            </w:r>
          </w:p>
        </w:tc>
        <w:tc>
          <w:tcPr>
            <w:tcW w:w="3194" w:type="dxa"/>
          </w:tcPr>
          <w:p w14:paraId="3A04C753" w14:textId="4DC3CA98" w:rsidR="005B413D" w:rsidRPr="006D21DB" w:rsidRDefault="006D21DB" w:rsidP="00E26323">
            <w:pPr>
              <w:rPr>
                <w:color w:val="FF0000"/>
              </w:rPr>
            </w:pPr>
            <w:r>
              <w:rPr>
                <w:color w:val="FF0000"/>
              </w:rPr>
              <w:t>The cost of maintenance will likely be included in the standard software fee structure, or will likely be cheaper as it’s spread across everyone implementing the existing system</w:t>
            </w:r>
          </w:p>
        </w:tc>
      </w:tr>
      <w:tr w:rsidR="005B413D" w14:paraId="6CF48378" w14:textId="77777777" w:rsidTr="005B413D">
        <w:trPr>
          <w:trHeight w:val="290"/>
        </w:trPr>
        <w:tc>
          <w:tcPr>
            <w:tcW w:w="3190" w:type="dxa"/>
          </w:tcPr>
          <w:p w14:paraId="05EF6298" w14:textId="4F3684C2" w:rsidR="005B413D" w:rsidRPr="006D21DB" w:rsidRDefault="006D21DB" w:rsidP="00E26323">
            <w:pPr>
              <w:rPr>
                <w:color w:val="FF0000"/>
              </w:rPr>
            </w:pPr>
            <w:r>
              <w:rPr>
                <w:color w:val="FF0000"/>
              </w:rPr>
              <w:lastRenderedPageBreak/>
              <w:t>The interface will be easier to revise if requirements discovered about other components of the EVCSS necessitate changes to the subsystem</w:t>
            </w:r>
          </w:p>
        </w:tc>
        <w:tc>
          <w:tcPr>
            <w:tcW w:w="3192" w:type="dxa"/>
          </w:tcPr>
          <w:p w14:paraId="4BA60928" w14:textId="5AB25234" w:rsidR="005B413D" w:rsidRPr="006D21DB" w:rsidRDefault="006D21DB" w:rsidP="00E26323">
            <w:pPr>
              <w:rPr>
                <w:color w:val="FF0000"/>
              </w:rPr>
            </w:pPr>
            <w:r>
              <w:rPr>
                <w:color w:val="FF0000"/>
              </w:rPr>
              <w:t>It may be easier for an outsourced team to change direction during development if the system has to be redesigned/reimagined in early stages</w:t>
            </w:r>
          </w:p>
        </w:tc>
        <w:tc>
          <w:tcPr>
            <w:tcW w:w="3194" w:type="dxa"/>
          </w:tcPr>
          <w:p w14:paraId="3BBA1641" w14:textId="24229FA7" w:rsidR="005B413D" w:rsidRPr="006D21DB" w:rsidRDefault="006D21DB" w:rsidP="00E26323">
            <w:pPr>
              <w:rPr>
                <w:color w:val="FF0000"/>
              </w:rPr>
            </w:pPr>
            <w:r>
              <w:rPr>
                <w:color w:val="FF0000"/>
              </w:rPr>
              <w:t>The external vendor providing the purchased subsystem will handle design changes separately from the broader EVCSS and can do so without fundamentally changing how we implement the system</w:t>
            </w:r>
          </w:p>
        </w:tc>
      </w:tr>
    </w:tbl>
    <w:p w14:paraId="3CA264C0" w14:textId="77777777" w:rsidR="00EE5CC6" w:rsidRDefault="00EE5CC6" w:rsidP="0070021B"/>
    <w:p w14:paraId="4260EBF5" w14:textId="72E95850" w:rsidR="003D387A" w:rsidRDefault="002E1182" w:rsidP="003D387A">
      <w:r>
        <w:t>(1</w:t>
      </w:r>
      <w:r w:rsidR="00EE5CC6">
        <w:t>5</w:t>
      </w:r>
      <w:r>
        <w:t xml:space="preserve"> pts) </w:t>
      </w:r>
      <w:r w:rsidR="002A4098">
        <w:t xml:space="preserve">For the </w:t>
      </w:r>
      <w:r w:rsidR="00B83482">
        <w:t xml:space="preserve">EVCSS </w:t>
      </w:r>
      <w:r w:rsidR="002A4098">
        <w:t>Project, b</w:t>
      </w:r>
      <w:r w:rsidR="003D387A">
        <w:t xml:space="preserve">uild a growth estimating spreadsheet </w:t>
      </w:r>
      <w:proofErr w:type="gramStart"/>
      <w:r w:rsidR="003D387A">
        <w:t>similar to</w:t>
      </w:r>
      <w:proofErr w:type="gramEnd"/>
      <w:r w:rsidR="003D387A">
        <w:t xml:space="preserve"> Fig 7.</w:t>
      </w:r>
      <w:r w:rsidR="0017132C">
        <w:t>8</w:t>
      </w:r>
    </w:p>
    <w:p w14:paraId="1B48FBFC" w14:textId="77777777" w:rsidR="003D387A" w:rsidRDefault="003D387A" w:rsidP="003D387A">
      <w:pPr>
        <w:pStyle w:val="ListParagraph"/>
        <w:numPr>
          <w:ilvl w:val="0"/>
          <w:numId w:val="19"/>
        </w:numPr>
      </w:pPr>
      <w:r>
        <w:t xml:space="preserve">Since this is a new system, there will be no “current </w:t>
      </w:r>
      <w:proofErr w:type="gramStart"/>
      <w:r>
        <w:t>level</w:t>
      </w:r>
      <w:proofErr w:type="gramEnd"/>
      <w:r>
        <w:t>”</w:t>
      </w:r>
    </w:p>
    <w:p w14:paraId="59F7AE30" w14:textId="77777777" w:rsidR="003D387A" w:rsidRDefault="003D387A" w:rsidP="003D387A">
      <w:pPr>
        <w:pStyle w:val="ListParagraph"/>
        <w:numPr>
          <w:ilvl w:val="0"/>
          <w:numId w:val="19"/>
        </w:numPr>
      </w:pPr>
      <w:r>
        <w:t xml:space="preserve">Define at least 5 potential performance </w:t>
      </w:r>
      <w:proofErr w:type="gramStart"/>
      <w:r>
        <w:t>factors</w:t>
      </w:r>
      <w:proofErr w:type="gramEnd"/>
    </w:p>
    <w:p w14:paraId="0DE257C2" w14:textId="612A5145" w:rsidR="003D387A" w:rsidRDefault="003D387A" w:rsidP="003D387A">
      <w:pPr>
        <w:pStyle w:val="ListParagraph"/>
        <w:numPr>
          <w:ilvl w:val="0"/>
          <w:numId w:val="19"/>
        </w:numPr>
      </w:pPr>
      <w:r>
        <w:t xml:space="preserve">Then estimate 1 year, 2 </w:t>
      </w:r>
      <w:proofErr w:type="gramStart"/>
      <w:r>
        <w:t>year</w:t>
      </w:r>
      <w:proofErr w:type="gramEnd"/>
      <w:r>
        <w:t xml:space="preserve"> &amp; 5 year estimates for those factors</w:t>
      </w:r>
    </w:p>
    <w:p w14:paraId="2F7CA061" w14:textId="0501DF5B" w:rsidR="00B83482" w:rsidRPr="004054ED" w:rsidRDefault="001F221F" w:rsidP="001F221F">
      <w:r>
        <w:t xml:space="preserve">Provide a </w:t>
      </w:r>
      <w:r w:rsidRPr="00EE5CC6">
        <w:rPr>
          <w:b/>
          <w:bCs/>
        </w:rPr>
        <w:t>reason</w:t>
      </w:r>
      <w:r>
        <w:t xml:space="preserve"> for each of your performance factors.  </w:t>
      </w:r>
      <w:r w:rsidR="00B83482">
        <w:t>Remember that the client hopes to grow this product from a local market to a national and possibly global market.</w:t>
      </w:r>
    </w:p>
    <w:tbl>
      <w:tblPr>
        <w:tblStyle w:val="TableGrid"/>
        <w:tblW w:w="0" w:type="auto"/>
        <w:tblLook w:val="04A0" w:firstRow="1" w:lastRow="0" w:firstColumn="1" w:lastColumn="0" w:noHBand="0" w:noVBand="1"/>
      </w:tblPr>
      <w:tblGrid>
        <w:gridCol w:w="2337"/>
        <w:gridCol w:w="2337"/>
        <w:gridCol w:w="2338"/>
        <w:gridCol w:w="2338"/>
      </w:tblGrid>
      <w:tr w:rsidR="002F0E50" w14:paraId="10D8E537" w14:textId="77777777" w:rsidTr="002F0E50">
        <w:tc>
          <w:tcPr>
            <w:tcW w:w="2337" w:type="dxa"/>
            <w:shd w:val="clear" w:color="auto" w:fill="D0CECE" w:themeFill="background2" w:themeFillShade="E6"/>
          </w:tcPr>
          <w:p w14:paraId="35277921" w14:textId="77777777" w:rsidR="002F0E50" w:rsidRDefault="002F0E50" w:rsidP="003D387A">
            <w:pPr>
              <w:rPr>
                <w:color w:val="FF0000"/>
              </w:rPr>
            </w:pPr>
          </w:p>
        </w:tc>
        <w:tc>
          <w:tcPr>
            <w:tcW w:w="2337" w:type="dxa"/>
            <w:shd w:val="clear" w:color="auto" w:fill="D0CECE" w:themeFill="background2" w:themeFillShade="E6"/>
          </w:tcPr>
          <w:p w14:paraId="454C75F0" w14:textId="3135097E" w:rsidR="002F0E50" w:rsidRPr="002F0E50" w:rsidRDefault="002F0E50" w:rsidP="002F0E50">
            <w:pPr>
              <w:jc w:val="center"/>
              <w:rPr>
                <w:b/>
                <w:bCs/>
                <w:color w:val="FF0000"/>
              </w:rPr>
            </w:pPr>
            <w:r>
              <w:rPr>
                <w:b/>
                <w:bCs/>
                <w:color w:val="FF0000"/>
              </w:rPr>
              <w:t>1 Year</w:t>
            </w:r>
          </w:p>
        </w:tc>
        <w:tc>
          <w:tcPr>
            <w:tcW w:w="2338" w:type="dxa"/>
            <w:shd w:val="clear" w:color="auto" w:fill="D0CECE" w:themeFill="background2" w:themeFillShade="E6"/>
          </w:tcPr>
          <w:p w14:paraId="21554B49" w14:textId="252A2AC4" w:rsidR="002F0E50" w:rsidRPr="002F0E50" w:rsidRDefault="002F0E50" w:rsidP="002F0E50">
            <w:pPr>
              <w:jc w:val="center"/>
              <w:rPr>
                <w:b/>
                <w:bCs/>
                <w:color w:val="FF0000"/>
              </w:rPr>
            </w:pPr>
            <w:r>
              <w:rPr>
                <w:b/>
                <w:bCs/>
                <w:color w:val="FF0000"/>
              </w:rPr>
              <w:t>2 Year</w:t>
            </w:r>
          </w:p>
        </w:tc>
        <w:tc>
          <w:tcPr>
            <w:tcW w:w="2338" w:type="dxa"/>
            <w:shd w:val="clear" w:color="auto" w:fill="D0CECE" w:themeFill="background2" w:themeFillShade="E6"/>
          </w:tcPr>
          <w:p w14:paraId="6035F3DA" w14:textId="50084FA5" w:rsidR="002F0E50" w:rsidRPr="002F0E50" w:rsidRDefault="002F0E50" w:rsidP="002F0E50">
            <w:pPr>
              <w:jc w:val="center"/>
              <w:rPr>
                <w:b/>
                <w:bCs/>
                <w:color w:val="FF0000"/>
              </w:rPr>
            </w:pPr>
            <w:r>
              <w:rPr>
                <w:b/>
                <w:bCs/>
                <w:color w:val="FF0000"/>
              </w:rPr>
              <w:t>5 Year</w:t>
            </w:r>
          </w:p>
        </w:tc>
      </w:tr>
      <w:tr w:rsidR="002F0E50" w14:paraId="2C280CE6" w14:textId="77777777" w:rsidTr="002F0E50">
        <w:tc>
          <w:tcPr>
            <w:tcW w:w="2337" w:type="dxa"/>
            <w:shd w:val="clear" w:color="auto" w:fill="E7E6E6" w:themeFill="background2"/>
          </w:tcPr>
          <w:p w14:paraId="381EC478" w14:textId="435480C4" w:rsidR="002F0E50" w:rsidRPr="002F0E50" w:rsidRDefault="002F0E50" w:rsidP="003D387A">
            <w:pPr>
              <w:rPr>
                <w:color w:val="FF0000"/>
                <w:vertAlign w:val="superscript"/>
              </w:rPr>
            </w:pPr>
            <w:r>
              <w:rPr>
                <w:color w:val="FF0000"/>
              </w:rPr>
              <w:t># of Apartment Complexes Using EVCSS</w:t>
            </w:r>
            <w:r>
              <w:rPr>
                <w:color w:val="FF0000"/>
                <w:vertAlign w:val="superscript"/>
              </w:rPr>
              <w:t>1</w:t>
            </w:r>
          </w:p>
        </w:tc>
        <w:tc>
          <w:tcPr>
            <w:tcW w:w="2337" w:type="dxa"/>
          </w:tcPr>
          <w:p w14:paraId="6BDE1B7C" w14:textId="7B22D8FF" w:rsidR="002F0E50" w:rsidRPr="00CF3312" w:rsidRDefault="00CF3312" w:rsidP="00CF3312">
            <w:pPr>
              <w:jc w:val="center"/>
              <w:rPr>
                <w:color w:val="FF0000"/>
              </w:rPr>
            </w:pPr>
            <w:r>
              <w:rPr>
                <w:color w:val="FF0000"/>
              </w:rPr>
              <w:t>3</w:t>
            </w:r>
          </w:p>
        </w:tc>
        <w:tc>
          <w:tcPr>
            <w:tcW w:w="2338" w:type="dxa"/>
          </w:tcPr>
          <w:p w14:paraId="42D16034" w14:textId="1843A58E" w:rsidR="002F0E50" w:rsidRPr="00CF3312" w:rsidRDefault="00CF3312" w:rsidP="00CF3312">
            <w:pPr>
              <w:jc w:val="center"/>
              <w:rPr>
                <w:color w:val="FF0000"/>
              </w:rPr>
            </w:pPr>
            <w:r>
              <w:rPr>
                <w:color w:val="FF0000"/>
              </w:rPr>
              <w:t>11</w:t>
            </w:r>
          </w:p>
        </w:tc>
        <w:tc>
          <w:tcPr>
            <w:tcW w:w="2338" w:type="dxa"/>
          </w:tcPr>
          <w:p w14:paraId="756483FA" w14:textId="16AC8054" w:rsidR="002F0E50" w:rsidRPr="00CF3312" w:rsidRDefault="00CF3312" w:rsidP="00CF3312">
            <w:pPr>
              <w:jc w:val="center"/>
              <w:rPr>
                <w:color w:val="FF0000"/>
              </w:rPr>
            </w:pPr>
            <w:r>
              <w:rPr>
                <w:color w:val="FF0000"/>
              </w:rPr>
              <w:t>54</w:t>
            </w:r>
          </w:p>
        </w:tc>
      </w:tr>
      <w:tr w:rsidR="002F0E50" w14:paraId="3AFF8D10" w14:textId="77777777" w:rsidTr="002F0E50">
        <w:tc>
          <w:tcPr>
            <w:tcW w:w="2337" w:type="dxa"/>
            <w:shd w:val="clear" w:color="auto" w:fill="E7E6E6" w:themeFill="background2"/>
          </w:tcPr>
          <w:p w14:paraId="0BE1B7F7" w14:textId="4614EB2D" w:rsidR="002F0E50" w:rsidRPr="002F0E50" w:rsidRDefault="002F0E50" w:rsidP="003D387A">
            <w:pPr>
              <w:rPr>
                <w:color w:val="FF0000"/>
                <w:vertAlign w:val="superscript"/>
              </w:rPr>
            </w:pPr>
            <w:r>
              <w:rPr>
                <w:color w:val="FF0000"/>
              </w:rPr>
              <w:t># of Charging Stations per Apartment Complex</w:t>
            </w:r>
            <w:r>
              <w:rPr>
                <w:color w:val="FF0000"/>
                <w:vertAlign w:val="superscript"/>
              </w:rPr>
              <w:t>2</w:t>
            </w:r>
          </w:p>
        </w:tc>
        <w:tc>
          <w:tcPr>
            <w:tcW w:w="2337" w:type="dxa"/>
          </w:tcPr>
          <w:p w14:paraId="1783AFCB" w14:textId="24159D15" w:rsidR="002F0E50" w:rsidRPr="00CF3312" w:rsidRDefault="00CF3312" w:rsidP="00CF3312">
            <w:pPr>
              <w:jc w:val="center"/>
              <w:rPr>
                <w:color w:val="FF0000"/>
              </w:rPr>
            </w:pPr>
            <w:r>
              <w:rPr>
                <w:color w:val="FF0000"/>
              </w:rPr>
              <w:t>10</w:t>
            </w:r>
          </w:p>
        </w:tc>
        <w:tc>
          <w:tcPr>
            <w:tcW w:w="2338" w:type="dxa"/>
          </w:tcPr>
          <w:p w14:paraId="31FBC93A" w14:textId="1AD350C5" w:rsidR="002F0E50" w:rsidRPr="00CF3312" w:rsidRDefault="00CF3312" w:rsidP="00CF3312">
            <w:pPr>
              <w:jc w:val="center"/>
              <w:rPr>
                <w:color w:val="FF0000"/>
              </w:rPr>
            </w:pPr>
            <w:r>
              <w:rPr>
                <w:color w:val="FF0000"/>
              </w:rPr>
              <w:t>15</w:t>
            </w:r>
          </w:p>
        </w:tc>
        <w:tc>
          <w:tcPr>
            <w:tcW w:w="2338" w:type="dxa"/>
          </w:tcPr>
          <w:p w14:paraId="23637EAE" w14:textId="5E876BA8" w:rsidR="002F0E50" w:rsidRPr="00CF3312" w:rsidRDefault="00CF3312" w:rsidP="00CF3312">
            <w:pPr>
              <w:jc w:val="center"/>
              <w:rPr>
                <w:color w:val="FF0000"/>
              </w:rPr>
            </w:pPr>
            <w:r>
              <w:rPr>
                <w:color w:val="FF0000"/>
              </w:rPr>
              <w:t>20</w:t>
            </w:r>
          </w:p>
        </w:tc>
      </w:tr>
      <w:tr w:rsidR="002F0E50" w14:paraId="2BB52F3B" w14:textId="77777777" w:rsidTr="002F0E50">
        <w:tc>
          <w:tcPr>
            <w:tcW w:w="2337" w:type="dxa"/>
            <w:shd w:val="clear" w:color="auto" w:fill="E7E6E6" w:themeFill="background2"/>
          </w:tcPr>
          <w:p w14:paraId="5F5FA463" w14:textId="31E281E0" w:rsidR="002F0E50" w:rsidRPr="002F0E50" w:rsidRDefault="002F0E50" w:rsidP="003D387A">
            <w:pPr>
              <w:rPr>
                <w:color w:val="FF0000"/>
                <w:vertAlign w:val="superscript"/>
              </w:rPr>
            </w:pPr>
            <w:r>
              <w:rPr>
                <w:color w:val="FF0000"/>
              </w:rPr>
              <w:t xml:space="preserve">Daily # of </w:t>
            </w:r>
            <w:r w:rsidR="00CF3312">
              <w:rPr>
                <w:color w:val="FF0000"/>
              </w:rPr>
              <w:t>Users</w:t>
            </w:r>
            <w:r>
              <w:rPr>
                <w:color w:val="FF0000"/>
              </w:rPr>
              <w:t xml:space="preserve"> Using EVCSS</w:t>
            </w:r>
            <w:r>
              <w:rPr>
                <w:color w:val="FF0000"/>
                <w:vertAlign w:val="superscript"/>
              </w:rPr>
              <w:t>3</w:t>
            </w:r>
          </w:p>
        </w:tc>
        <w:tc>
          <w:tcPr>
            <w:tcW w:w="2337" w:type="dxa"/>
          </w:tcPr>
          <w:p w14:paraId="78D36CF6" w14:textId="568BFEB4" w:rsidR="002F0E50" w:rsidRPr="00CF3312" w:rsidRDefault="00CF3312" w:rsidP="00CF3312">
            <w:pPr>
              <w:jc w:val="center"/>
              <w:rPr>
                <w:color w:val="FF0000"/>
              </w:rPr>
            </w:pPr>
            <w:r>
              <w:rPr>
                <w:color w:val="FF0000"/>
              </w:rPr>
              <w:t>21</w:t>
            </w:r>
          </w:p>
        </w:tc>
        <w:tc>
          <w:tcPr>
            <w:tcW w:w="2338" w:type="dxa"/>
          </w:tcPr>
          <w:p w14:paraId="62080483" w14:textId="20598C67" w:rsidR="002F0E50" w:rsidRPr="00CF3312" w:rsidRDefault="00CF3312" w:rsidP="00CF3312">
            <w:pPr>
              <w:jc w:val="center"/>
              <w:rPr>
                <w:color w:val="FF0000"/>
              </w:rPr>
            </w:pPr>
            <w:r>
              <w:rPr>
                <w:color w:val="FF0000"/>
              </w:rPr>
              <w:t>121</w:t>
            </w:r>
          </w:p>
        </w:tc>
        <w:tc>
          <w:tcPr>
            <w:tcW w:w="2338" w:type="dxa"/>
          </w:tcPr>
          <w:p w14:paraId="68A20C0D" w14:textId="60E8A0A3" w:rsidR="002F0E50" w:rsidRPr="00CF3312" w:rsidRDefault="0002109F" w:rsidP="00CF3312">
            <w:pPr>
              <w:jc w:val="center"/>
              <w:rPr>
                <w:color w:val="FF0000"/>
              </w:rPr>
            </w:pPr>
            <w:r w:rsidRPr="0002109F">
              <w:rPr>
                <w:color w:val="FF0000"/>
              </w:rPr>
              <w:t>918</w:t>
            </w:r>
          </w:p>
        </w:tc>
      </w:tr>
      <w:tr w:rsidR="002F0E50" w14:paraId="5A773C1A" w14:textId="77777777" w:rsidTr="002F0E50">
        <w:tc>
          <w:tcPr>
            <w:tcW w:w="2337" w:type="dxa"/>
            <w:shd w:val="clear" w:color="auto" w:fill="E7E6E6" w:themeFill="background2"/>
          </w:tcPr>
          <w:p w14:paraId="6F8A4C04" w14:textId="0562800B" w:rsidR="002F0E50" w:rsidRPr="002F0E50" w:rsidRDefault="002F0E50" w:rsidP="003D387A">
            <w:pPr>
              <w:rPr>
                <w:color w:val="FF0000"/>
              </w:rPr>
            </w:pPr>
            <w:r>
              <w:rPr>
                <w:color w:val="FF0000"/>
              </w:rPr>
              <w:t>Daily # of Electric Vehicles Charged by EVCSS</w:t>
            </w:r>
            <w:r>
              <w:rPr>
                <w:color w:val="FF0000"/>
                <w:vertAlign w:val="superscript"/>
              </w:rPr>
              <w:t>4</w:t>
            </w:r>
          </w:p>
        </w:tc>
        <w:tc>
          <w:tcPr>
            <w:tcW w:w="2337" w:type="dxa"/>
          </w:tcPr>
          <w:p w14:paraId="60E1C279" w14:textId="06C92EF7" w:rsidR="002F0E50" w:rsidRPr="00CF3312" w:rsidRDefault="00CF3312" w:rsidP="00CF3312">
            <w:pPr>
              <w:jc w:val="center"/>
              <w:rPr>
                <w:color w:val="FF0000"/>
              </w:rPr>
            </w:pPr>
            <w:r>
              <w:rPr>
                <w:color w:val="FF0000"/>
              </w:rPr>
              <w:t>24</w:t>
            </w:r>
          </w:p>
        </w:tc>
        <w:tc>
          <w:tcPr>
            <w:tcW w:w="2338" w:type="dxa"/>
          </w:tcPr>
          <w:p w14:paraId="4FEE8634" w14:textId="4BA5ED02" w:rsidR="002F0E50" w:rsidRPr="00CF3312" w:rsidRDefault="00CF3312" w:rsidP="00CF3312">
            <w:pPr>
              <w:jc w:val="center"/>
              <w:rPr>
                <w:color w:val="FF0000"/>
              </w:rPr>
            </w:pPr>
            <w:r>
              <w:rPr>
                <w:color w:val="FF0000"/>
              </w:rPr>
              <w:t>154</w:t>
            </w:r>
          </w:p>
        </w:tc>
        <w:tc>
          <w:tcPr>
            <w:tcW w:w="2338" w:type="dxa"/>
          </w:tcPr>
          <w:p w14:paraId="0C9F6876" w14:textId="58E66DAD" w:rsidR="002F0E50" w:rsidRPr="0002109F" w:rsidRDefault="0002109F" w:rsidP="0002109F">
            <w:pPr>
              <w:jc w:val="center"/>
              <w:rPr>
                <w:color w:val="FF0000"/>
              </w:rPr>
            </w:pPr>
            <w:r>
              <w:rPr>
                <w:color w:val="FF0000"/>
              </w:rPr>
              <w:t>1134</w:t>
            </w:r>
          </w:p>
        </w:tc>
      </w:tr>
      <w:tr w:rsidR="002F0E50" w14:paraId="478EAAFE" w14:textId="77777777" w:rsidTr="002F0E50">
        <w:tc>
          <w:tcPr>
            <w:tcW w:w="2337" w:type="dxa"/>
            <w:shd w:val="clear" w:color="auto" w:fill="E7E6E6" w:themeFill="background2"/>
          </w:tcPr>
          <w:p w14:paraId="530B9BF8" w14:textId="0EF93B3F" w:rsidR="002F0E50" w:rsidRPr="002F0E50" w:rsidRDefault="002F0E50" w:rsidP="003D387A">
            <w:pPr>
              <w:rPr>
                <w:color w:val="FF0000"/>
                <w:vertAlign w:val="superscript"/>
              </w:rPr>
            </w:pPr>
            <w:r>
              <w:rPr>
                <w:color w:val="FF0000"/>
              </w:rPr>
              <w:t>Avg. # of Power Grids Working with EVCSS per Apartment Complex</w:t>
            </w:r>
            <w:r>
              <w:rPr>
                <w:color w:val="FF0000"/>
                <w:vertAlign w:val="superscript"/>
              </w:rPr>
              <w:t>5</w:t>
            </w:r>
          </w:p>
        </w:tc>
        <w:tc>
          <w:tcPr>
            <w:tcW w:w="2337" w:type="dxa"/>
          </w:tcPr>
          <w:p w14:paraId="2B4984FE" w14:textId="6F1B761F" w:rsidR="002F0E50" w:rsidRPr="00CF3312" w:rsidRDefault="00CF3312" w:rsidP="00CF3312">
            <w:pPr>
              <w:jc w:val="center"/>
              <w:rPr>
                <w:color w:val="FF0000"/>
              </w:rPr>
            </w:pPr>
            <w:r>
              <w:rPr>
                <w:color w:val="FF0000"/>
              </w:rPr>
              <w:t>2</w:t>
            </w:r>
          </w:p>
        </w:tc>
        <w:tc>
          <w:tcPr>
            <w:tcW w:w="2338" w:type="dxa"/>
          </w:tcPr>
          <w:p w14:paraId="3E7FCC0E" w14:textId="37825466" w:rsidR="002F0E50" w:rsidRPr="00CF3312" w:rsidRDefault="00CF3312" w:rsidP="00CF3312">
            <w:pPr>
              <w:jc w:val="center"/>
              <w:rPr>
                <w:color w:val="FF0000"/>
              </w:rPr>
            </w:pPr>
            <w:r>
              <w:rPr>
                <w:color w:val="FF0000"/>
              </w:rPr>
              <w:t>3</w:t>
            </w:r>
          </w:p>
        </w:tc>
        <w:tc>
          <w:tcPr>
            <w:tcW w:w="2338" w:type="dxa"/>
          </w:tcPr>
          <w:p w14:paraId="47C40F60" w14:textId="1B0A623D" w:rsidR="002F0E50" w:rsidRPr="0002109F" w:rsidRDefault="0002109F" w:rsidP="0002109F">
            <w:pPr>
              <w:jc w:val="center"/>
              <w:rPr>
                <w:color w:val="FF0000"/>
              </w:rPr>
            </w:pPr>
            <w:r>
              <w:rPr>
                <w:color w:val="FF0000"/>
              </w:rPr>
              <w:t>5</w:t>
            </w:r>
          </w:p>
        </w:tc>
      </w:tr>
    </w:tbl>
    <w:p w14:paraId="4C326E21" w14:textId="77777777" w:rsidR="00EE5CC6" w:rsidRDefault="00EE5CC6" w:rsidP="003D387A">
      <w:pPr>
        <w:rPr>
          <w:color w:val="FF0000"/>
        </w:rPr>
      </w:pPr>
    </w:p>
    <w:p w14:paraId="03A83DBF" w14:textId="1FDB855D" w:rsidR="00CF3312" w:rsidRPr="00CF3312" w:rsidRDefault="002F0E50" w:rsidP="003D387A">
      <w:pPr>
        <w:rPr>
          <w:color w:val="FF0000"/>
        </w:rPr>
      </w:pPr>
      <w:r>
        <w:rPr>
          <w:color w:val="FF0000"/>
          <w:vertAlign w:val="superscript"/>
        </w:rPr>
        <w:t>1</w:t>
      </w:r>
      <w:r>
        <w:rPr>
          <w:color w:val="FF0000"/>
        </w:rPr>
        <w:t xml:space="preserve"> Measuring the number of apartment complex using the EVCSS is key to determining the overall success of the EVCSS’ deployment on an expanded market.</w:t>
      </w:r>
      <w:r>
        <w:rPr>
          <w:color w:val="FF0000"/>
        </w:rPr>
        <w:br/>
      </w:r>
      <w:r>
        <w:rPr>
          <w:color w:val="FF0000"/>
          <w:vertAlign w:val="superscript"/>
        </w:rPr>
        <w:t>2</w:t>
      </w:r>
      <w:r>
        <w:rPr>
          <w:color w:val="FF0000"/>
        </w:rPr>
        <w:t xml:space="preserve"> A sign of the EVCSS’ success and popularity will be the number of charging stations that apartment complex management is willing to install, which can also be thought of as the number of parking spaces an apartment complex is willing to sacrifice for EV charging.</w:t>
      </w:r>
      <w:r>
        <w:rPr>
          <w:color w:val="FF0000"/>
        </w:rPr>
        <w:br/>
      </w:r>
      <w:r>
        <w:rPr>
          <w:color w:val="FF0000"/>
          <w:vertAlign w:val="superscript"/>
        </w:rPr>
        <w:t>3</w:t>
      </w:r>
      <w:r>
        <w:rPr>
          <w:color w:val="FF0000"/>
        </w:rPr>
        <w:t xml:space="preserve"> Measuring the number of </w:t>
      </w:r>
      <w:r w:rsidR="00CF3312">
        <w:rPr>
          <w:color w:val="FF0000"/>
        </w:rPr>
        <w:t>users (both tenants and on-demand users)</w:t>
      </w:r>
      <w:r>
        <w:rPr>
          <w:color w:val="FF0000"/>
        </w:rPr>
        <w:t xml:space="preserve"> that are actually using charging stations each day is important because there’s no point in expanding the system’s use if </w:t>
      </w:r>
      <w:r w:rsidR="00CF3312">
        <w:rPr>
          <w:color w:val="FF0000"/>
        </w:rPr>
        <w:t>people</w:t>
      </w:r>
      <w:r>
        <w:rPr>
          <w:color w:val="FF0000"/>
        </w:rPr>
        <w:t xml:space="preserve"> do not actually want to use them.</w:t>
      </w:r>
      <w:r>
        <w:rPr>
          <w:color w:val="FF0000"/>
        </w:rPr>
        <w:br/>
      </w:r>
      <w:r>
        <w:rPr>
          <w:color w:val="FF0000"/>
          <w:vertAlign w:val="superscript"/>
        </w:rPr>
        <w:t>4</w:t>
      </w:r>
      <w:r>
        <w:rPr>
          <w:color w:val="FF0000"/>
        </w:rPr>
        <w:t xml:space="preserve"> </w:t>
      </w:r>
      <w:r w:rsidR="00CF3312">
        <w:rPr>
          <w:color w:val="FF0000"/>
        </w:rPr>
        <w:t>Measuring the number of electric vehicles that are charged by the EVCSS is useful in determining whether the EVCSS is contributing to conversions from gas-powered vehicles to electric vehicles in the broader market</w:t>
      </w:r>
      <w:r w:rsidR="0002109F">
        <w:rPr>
          <w:color w:val="FF0000"/>
        </w:rPr>
        <w:t>, as the number will be influenced by users of the EVCSS that have more than one EV.</w:t>
      </w:r>
      <w:r w:rsidR="00CF3312">
        <w:rPr>
          <w:color w:val="FF0000"/>
        </w:rPr>
        <w:br/>
      </w:r>
      <w:r w:rsidR="00CF3312">
        <w:rPr>
          <w:color w:val="FF0000"/>
          <w:vertAlign w:val="superscript"/>
        </w:rPr>
        <w:t>5</w:t>
      </w:r>
      <w:r w:rsidR="00CF3312">
        <w:rPr>
          <w:color w:val="FF0000"/>
        </w:rPr>
        <w:t xml:space="preserve"> Since the EVCSS fundamentally relies on power grids being willing to dedicate resources to electric vehicle charging, measuring the number of power grids/electrical providers that sign on to work with </w:t>
      </w:r>
      <w:r w:rsidR="00CF3312">
        <w:rPr>
          <w:color w:val="FF0000"/>
        </w:rPr>
        <w:lastRenderedPageBreak/>
        <w:t>the EVCSS at a given apartment complex will demonstrate whether power grids see the EVCSS as a viable and necessary implementation.</w:t>
      </w:r>
    </w:p>
    <w:sectPr w:rsidR="00CF3312" w:rsidRPr="00CF3312" w:rsidSect="00993CBF">
      <w:headerReference w:type="even" r:id="rId7"/>
      <w:headerReference w:type="default" r:id="rId8"/>
      <w:footerReference w:type="even" r:id="rId9"/>
      <w:footerReference w:type="default" r:id="rId10"/>
      <w:headerReference w:type="first" r:id="rId11"/>
      <w:footerReference w:type="firs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F5E07" w14:textId="77777777" w:rsidR="00993CBF" w:rsidRDefault="00993CBF" w:rsidP="008334E0">
      <w:pPr>
        <w:spacing w:after="0" w:line="240" w:lineRule="auto"/>
      </w:pPr>
      <w:r>
        <w:separator/>
      </w:r>
    </w:p>
  </w:endnote>
  <w:endnote w:type="continuationSeparator" w:id="0">
    <w:p w14:paraId="46EB874A" w14:textId="77777777" w:rsidR="00993CBF" w:rsidRDefault="00993CBF"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Garamond">
    <w:altName w:val="Cambria"/>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8886" w14:textId="77777777" w:rsidR="00E27FA7" w:rsidRDefault="00E27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7736" w14:textId="77777777" w:rsidR="00E27FA7" w:rsidRDefault="00E27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C361" w14:textId="77777777" w:rsidR="00E27FA7" w:rsidRDefault="00E27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74FE0" w14:textId="77777777" w:rsidR="00993CBF" w:rsidRDefault="00993CBF" w:rsidP="008334E0">
      <w:pPr>
        <w:spacing w:after="0" w:line="240" w:lineRule="auto"/>
      </w:pPr>
      <w:r>
        <w:separator/>
      </w:r>
    </w:p>
  </w:footnote>
  <w:footnote w:type="continuationSeparator" w:id="0">
    <w:p w14:paraId="0F35668A" w14:textId="77777777" w:rsidR="00993CBF" w:rsidRDefault="00993CBF"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C3CD" w14:textId="77777777" w:rsidR="00E27FA7" w:rsidRDefault="00E27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DEFD"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30B15B92" wp14:editId="1F12AAC9">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EA415" w14:textId="5C84A924" w:rsidR="008334E0" w:rsidRDefault="00E27FA7" w:rsidP="00E27FA7">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0B15B92"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2A2EA415" w14:textId="5C84A924" w:rsidR="008334E0" w:rsidRDefault="00E27FA7" w:rsidP="00E27FA7">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- 7</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BCA9" w14:textId="77777777" w:rsidR="00E27FA7" w:rsidRDefault="00E27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3D3D"/>
    <w:multiLevelType w:val="hybridMultilevel"/>
    <w:tmpl w:val="A3CEA6CA"/>
    <w:lvl w:ilvl="0" w:tplc="4B24239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397368D"/>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E465F"/>
    <w:multiLevelType w:val="hybridMultilevel"/>
    <w:tmpl w:val="1026C8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98F34FA"/>
    <w:multiLevelType w:val="hybridMultilevel"/>
    <w:tmpl w:val="8D823C40"/>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A5F4A"/>
    <w:multiLevelType w:val="hybridMultilevel"/>
    <w:tmpl w:val="DA8CD0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422325F"/>
    <w:multiLevelType w:val="hybridMultilevel"/>
    <w:tmpl w:val="512EA1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7C3C56"/>
    <w:multiLevelType w:val="hybridMultilevel"/>
    <w:tmpl w:val="CECAD786"/>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4CD13306"/>
    <w:multiLevelType w:val="hybridMultilevel"/>
    <w:tmpl w:val="72F6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2C4011"/>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C65892"/>
    <w:multiLevelType w:val="hybridMultilevel"/>
    <w:tmpl w:val="BB7A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822257">
    <w:abstractNumId w:val="14"/>
  </w:num>
  <w:num w:numId="2" w16cid:durableId="966812907">
    <w:abstractNumId w:val="5"/>
  </w:num>
  <w:num w:numId="3" w16cid:durableId="1093430494">
    <w:abstractNumId w:val="4"/>
  </w:num>
  <w:num w:numId="4" w16cid:durableId="1584682286">
    <w:abstractNumId w:val="15"/>
  </w:num>
  <w:num w:numId="5" w16cid:durableId="1949582219">
    <w:abstractNumId w:val="18"/>
  </w:num>
  <w:num w:numId="6" w16cid:durableId="86969167">
    <w:abstractNumId w:val="11"/>
  </w:num>
  <w:num w:numId="7" w16cid:durableId="2009793413">
    <w:abstractNumId w:val="9"/>
  </w:num>
  <w:num w:numId="8" w16cid:durableId="1884362774">
    <w:abstractNumId w:val="8"/>
  </w:num>
  <w:num w:numId="9" w16cid:durableId="1898587691">
    <w:abstractNumId w:val="12"/>
  </w:num>
  <w:num w:numId="10" w16cid:durableId="30617336">
    <w:abstractNumId w:val="0"/>
  </w:num>
  <w:num w:numId="11" w16cid:durableId="1905331066">
    <w:abstractNumId w:val="16"/>
  </w:num>
  <w:num w:numId="12" w16cid:durableId="1346665201">
    <w:abstractNumId w:val="6"/>
  </w:num>
  <w:num w:numId="13" w16cid:durableId="470753408">
    <w:abstractNumId w:val="7"/>
  </w:num>
  <w:num w:numId="14" w16cid:durableId="1050030920">
    <w:abstractNumId w:val="2"/>
  </w:num>
  <w:num w:numId="15" w16cid:durableId="514001586">
    <w:abstractNumId w:val="1"/>
  </w:num>
  <w:num w:numId="16" w16cid:durableId="1776898400">
    <w:abstractNumId w:val="17"/>
  </w:num>
  <w:num w:numId="17" w16cid:durableId="1453746825">
    <w:abstractNumId w:val="13"/>
  </w:num>
  <w:num w:numId="18" w16cid:durableId="2028631262">
    <w:abstractNumId w:val="3"/>
  </w:num>
  <w:num w:numId="19" w16cid:durableId="19012815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2109F"/>
    <w:rsid w:val="00045630"/>
    <w:rsid w:val="00047BAE"/>
    <w:rsid w:val="00062F27"/>
    <w:rsid w:val="00074FF9"/>
    <w:rsid w:val="000824B1"/>
    <w:rsid w:val="000C746A"/>
    <w:rsid w:val="000E688D"/>
    <w:rsid w:val="000F234F"/>
    <w:rsid w:val="00121907"/>
    <w:rsid w:val="00126276"/>
    <w:rsid w:val="00126B5F"/>
    <w:rsid w:val="00156696"/>
    <w:rsid w:val="00170A7D"/>
    <w:rsid w:val="0017132C"/>
    <w:rsid w:val="0017256C"/>
    <w:rsid w:val="00175A3B"/>
    <w:rsid w:val="001E4E3B"/>
    <w:rsid w:val="001F221F"/>
    <w:rsid w:val="002113A2"/>
    <w:rsid w:val="00247880"/>
    <w:rsid w:val="0027712E"/>
    <w:rsid w:val="002933AA"/>
    <w:rsid w:val="002A4098"/>
    <w:rsid w:val="002A41FF"/>
    <w:rsid w:val="002C54DF"/>
    <w:rsid w:val="002E1182"/>
    <w:rsid w:val="002F0E50"/>
    <w:rsid w:val="002F5F7E"/>
    <w:rsid w:val="00301D02"/>
    <w:rsid w:val="00321D56"/>
    <w:rsid w:val="0034135E"/>
    <w:rsid w:val="003C7277"/>
    <w:rsid w:val="003D387A"/>
    <w:rsid w:val="003F04BE"/>
    <w:rsid w:val="003F676A"/>
    <w:rsid w:val="004054ED"/>
    <w:rsid w:val="004260B9"/>
    <w:rsid w:val="00437CE7"/>
    <w:rsid w:val="00567CCA"/>
    <w:rsid w:val="00573021"/>
    <w:rsid w:val="005B413D"/>
    <w:rsid w:val="005E51AB"/>
    <w:rsid w:val="005F7057"/>
    <w:rsid w:val="00602A62"/>
    <w:rsid w:val="00674904"/>
    <w:rsid w:val="006D21DB"/>
    <w:rsid w:val="006E02DE"/>
    <w:rsid w:val="0070021B"/>
    <w:rsid w:val="007736D8"/>
    <w:rsid w:val="0078767B"/>
    <w:rsid w:val="00796C49"/>
    <w:rsid w:val="007A24A1"/>
    <w:rsid w:val="007C4858"/>
    <w:rsid w:val="008248FB"/>
    <w:rsid w:val="008334E0"/>
    <w:rsid w:val="00854188"/>
    <w:rsid w:val="008844C1"/>
    <w:rsid w:val="009320D3"/>
    <w:rsid w:val="00945CF9"/>
    <w:rsid w:val="00963BD9"/>
    <w:rsid w:val="0096738D"/>
    <w:rsid w:val="00993ABE"/>
    <w:rsid w:val="00993CBF"/>
    <w:rsid w:val="00997530"/>
    <w:rsid w:val="009B12D2"/>
    <w:rsid w:val="009C59B9"/>
    <w:rsid w:val="009D1FFF"/>
    <w:rsid w:val="009E1663"/>
    <w:rsid w:val="00A206CB"/>
    <w:rsid w:val="00A3629B"/>
    <w:rsid w:val="00A36F05"/>
    <w:rsid w:val="00A40BF9"/>
    <w:rsid w:val="00A42BBE"/>
    <w:rsid w:val="00A4626E"/>
    <w:rsid w:val="00A509F3"/>
    <w:rsid w:val="00A86DDA"/>
    <w:rsid w:val="00AE75DE"/>
    <w:rsid w:val="00B120A9"/>
    <w:rsid w:val="00B136FB"/>
    <w:rsid w:val="00B219CB"/>
    <w:rsid w:val="00B50E2C"/>
    <w:rsid w:val="00B718D1"/>
    <w:rsid w:val="00B83482"/>
    <w:rsid w:val="00B92277"/>
    <w:rsid w:val="00BB46CB"/>
    <w:rsid w:val="00BE1471"/>
    <w:rsid w:val="00BE4A86"/>
    <w:rsid w:val="00C23BE5"/>
    <w:rsid w:val="00C77606"/>
    <w:rsid w:val="00CB5031"/>
    <w:rsid w:val="00CF3312"/>
    <w:rsid w:val="00D02DC7"/>
    <w:rsid w:val="00D14D7A"/>
    <w:rsid w:val="00D469C7"/>
    <w:rsid w:val="00D51D8C"/>
    <w:rsid w:val="00D558CC"/>
    <w:rsid w:val="00D8555B"/>
    <w:rsid w:val="00DD1C4F"/>
    <w:rsid w:val="00DE581C"/>
    <w:rsid w:val="00DF06AC"/>
    <w:rsid w:val="00E2306D"/>
    <w:rsid w:val="00E26323"/>
    <w:rsid w:val="00E27B8A"/>
    <w:rsid w:val="00E27FA7"/>
    <w:rsid w:val="00E8268D"/>
    <w:rsid w:val="00E9018F"/>
    <w:rsid w:val="00EA075D"/>
    <w:rsid w:val="00EE5CC6"/>
    <w:rsid w:val="00F113FA"/>
    <w:rsid w:val="00F634B3"/>
    <w:rsid w:val="00F77700"/>
    <w:rsid w:val="00F94188"/>
    <w:rsid w:val="00FA0E76"/>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A021"/>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7C485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C4858"/>
    <w:rPr>
      <w:rFonts w:ascii="Courier New" w:eastAsia="Times New Roman" w:hAnsi="Courier New" w:cs="Times New Roman"/>
      <w:sz w:val="20"/>
      <w:szCs w:val="20"/>
    </w:rPr>
  </w:style>
  <w:style w:type="paragraph" w:customStyle="1" w:styleId="NormalItalic">
    <w:name w:val="NormalItalic"/>
    <w:basedOn w:val="Normal"/>
    <w:rsid w:val="007C4858"/>
    <w:pPr>
      <w:widowControl w:val="0"/>
      <w:tabs>
        <w:tab w:val="decimal" w:pos="240"/>
        <w:tab w:val="left" w:pos="480"/>
        <w:tab w:val="left" w:pos="840"/>
      </w:tabs>
      <w:spacing w:after="180" w:line="260" w:lineRule="atLeast"/>
    </w:pPr>
    <w:rPr>
      <w:rFonts w:ascii="Palatino" w:eastAsia="Times New Roman" w:hAnsi="Palatino" w:cs="Times New Roman"/>
      <w:i/>
      <w:sz w:val="21"/>
      <w:szCs w:val="20"/>
    </w:rPr>
  </w:style>
  <w:style w:type="paragraph" w:customStyle="1" w:styleId="Body">
    <w:name w:val="Body"/>
    <w:basedOn w:val="Normal"/>
    <w:rsid w:val="00993ABE"/>
    <w:pPr>
      <w:overflowPunct w:val="0"/>
      <w:autoSpaceDE w:val="0"/>
      <w:autoSpaceDN w:val="0"/>
      <w:adjustRightInd w:val="0"/>
      <w:spacing w:after="0" w:line="260" w:lineRule="exact"/>
      <w:ind w:firstLine="180"/>
      <w:textAlignment w:val="baseline"/>
    </w:pPr>
    <w:rPr>
      <w:rFonts w:ascii="AGaramond" w:eastAsia="Times New Roman" w:hAnsi="AGaramond" w:cs="Times New Roman"/>
      <w:szCs w:val="20"/>
    </w:rPr>
  </w:style>
  <w:style w:type="table" w:styleId="TableGrid">
    <w:name w:val="Table Grid"/>
    <w:basedOn w:val="TableNormal"/>
    <w:uiPriority w:val="39"/>
    <w:rsid w:val="005B4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148">
      <w:bodyDiv w:val="1"/>
      <w:marLeft w:val="0"/>
      <w:marRight w:val="0"/>
      <w:marTop w:val="0"/>
      <w:marBottom w:val="0"/>
      <w:divBdr>
        <w:top w:val="none" w:sz="0" w:space="0" w:color="auto"/>
        <w:left w:val="none" w:sz="0" w:space="0" w:color="auto"/>
        <w:bottom w:val="none" w:sz="0" w:space="0" w:color="auto"/>
        <w:right w:val="none" w:sz="0" w:space="0" w:color="auto"/>
      </w:divBdr>
    </w:div>
    <w:div w:id="424881875">
      <w:bodyDiv w:val="1"/>
      <w:marLeft w:val="0"/>
      <w:marRight w:val="0"/>
      <w:marTop w:val="0"/>
      <w:marBottom w:val="0"/>
      <w:divBdr>
        <w:top w:val="none" w:sz="0" w:space="0" w:color="auto"/>
        <w:left w:val="none" w:sz="0" w:space="0" w:color="auto"/>
        <w:bottom w:val="none" w:sz="0" w:space="0" w:color="auto"/>
        <w:right w:val="none" w:sz="0" w:space="0" w:color="auto"/>
      </w:divBdr>
    </w:div>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21</cp:revision>
  <dcterms:created xsi:type="dcterms:W3CDTF">2017-05-15T17:49:00Z</dcterms:created>
  <dcterms:modified xsi:type="dcterms:W3CDTF">2024-03-07T22:29:00Z</dcterms:modified>
</cp:coreProperties>
</file>